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0C1" w14:textId="77777777" w:rsidR="00C178E3" w:rsidRDefault="00000000">
      <w:pPr>
        <w:pStyle w:val="Standard"/>
        <w:spacing w:before="60" w:after="6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Szakértői vélemény</w:t>
      </w:r>
    </w:p>
    <w:p w14:paraId="18C603B6" w14:textId="77777777" w:rsidR="00C178E3" w:rsidRDefault="00C178E3">
      <w:pPr>
        <w:pStyle w:val="Standard"/>
        <w:spacing w:before="60" w:after="60"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9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7"/>
        <w:gridCol w:w="5449"/>
      </w:tblGrid>
      <w:tr w:rsidR="00C178E3" w14:paraId="74936CB3" w14:textId="77777777">
        <w:trPr>
          <w:trHeight w:val="627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2E69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Képzés (képzési program) megnevezése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756B" w14:textId="77777777" w:rsidR="00C178E3" w:rsidRPr="00375307" w:rsidRDefault="00000000">
            <w:pPr>
              <w:pStyle w:val="Standard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Gumiabroncs-javító és </w:t>
            </w:r>
            <w:proofErr w:type="spellStart"/>
            <w:r w:rsidRPr="00375307">
              <w:rPr>
                <w:rFonts w:ascii="Arial" w:hAnsi="Arial" w:cs="Arial"/>
                <w:b/>
                <w:bCs/>
                <w:sz w:val="20"/>
                <w:szCs w:val="20"/>
              </w:rPr>
              <w:t>kerékkiegyensúlyozó</w:t>
            </w:r>
            <w:proofErr w:type="spellEnd"/>
          </w:p>
        </w:tc>
      </w:tr>
      <w:tr w:rsidR="00C178E3" w14:paraId="05C1B63B" w14:textId="77777777">
        <w:trPr>
          <w:trHeight w:val="627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FF45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Felnőttképző megnevezése és engedélyszáma: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D7CD" w14:textId="436804D0" w:rsidR="00C178E3" w:rsidRDefault="002A3519" w:rsidP="00375307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Novum7 Szolgáltató Kft., E/2022/000158</w:t>
            </w:r>
          </w:p>
        </w:tc>
      </w:tr>
      <w:tr w:rsidR="00C178E3" w14:paraId="7944E9AC" w14:textId="77777777">
        <w:trPr>
          <w:trHeight w:val="560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B857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megállapítások</w:t>
            </w:r>
          </w:p>
        </w:tc>
      </w:tr>
      <w:tr w:rsidR="00C178E3" w14:paraId="0809B155" w14:textId="77777777">
        <w:trPr>
          <w:trHeight w:val="113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664A" w14:textId="77777777" w:rsidR="00C178E3" w:rsidRDefault="00000000">
            <w:pPr>
              <w:pStyle w:val="Listaszerbekezds"/>
              <w:numPr>
                <w:ilvl w:val="0"/>
                <w:numId w:val="2"/>
              </w:numPr>
              <w:tabs>
                <w:tab w:val="left" w:pos="1619"/>
              </w:tabs>
              <w:spacing w:before="230" w:after="230" w:line="360" w:lineRule="auto"/>
              <w:ind w:left="4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képzési program tartalma megfelel a felnőttképzésről szóló 2013. évi LXXVII. törvénynek és szakmai oktatás vagy szakmai képzés esetén a szakképzésről szóló törvénynek és a szakképzésről szóló törvény végrehajtásáról szóló kormányrendeletnek.</w:t>
            </w:r>
          </w:p>
          <w:p w14:paraId="26F219FF" w14:textId="77777777" w:rsidR="00C178E3" w:rsidRDefault="00000000">
            <w:pPr>
              <w:pStyle w:val="Listaszerbekezds"/>
              <w:numPr>
                <w:ilvl w:val="0"/>
                <w:numId w:val="2"/>
              </w:numPr>
              <w:tabs>
                <w:tab w:val="left" w:pos="1619"/>
              </w:tabs>
              <w:spacing w:before="230" w:after="230" w:line="360" w:lineRule="auto"/>
              <w:ind w:left="4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képzési programban meghatározott tartalommal, feltételekkel és módon, valamint a képzéssel érintett célcsoport számára megszerezhetők a képzési programban megjelölt kompetenciák.</w:t>
            </w:r>
          </w:p>
          <w:p w14:paraId="30DC21CE" w14:textId="77777777" w:rsidR="00C178E3" w:rsidRDefault="00000000">
            <w:pPr>
              <w:pStyle w:val="Listaszerbekezds"/>
              <w:numPr>
                <w:ilvl w:val="0"/>
                <w:numId w:val="2"/>
              </w:numPr>
              <w:tabs>
                <w:tab w:val="left" w:pos="1619"/>
              </w:tabs>
              <w:spacing w:before="230" w:after="230" w:line="360" w:lineRule="auto"/>
              <w:ind w:left="4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képzési program minden oldala folyamatos oldalszámozással van ellátva.</w:t>
            </w:r>
          </w:p>
        </w:tc>
      </w:tr>
      <w:tr w:rsidR="00C178E3" w14:paraId="2E99C44B" w14:textId="77777777">
        <w:trPr>
          <w:trHeight w:val="636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C704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vélemény kelte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ED0C" w14:textId="191D6F2A" w:rsidR="00C178E3" w:rsidRDefault="00000000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Budapest, 202</w:t>
            </w:r>
            <w:r w:rsidR="002A351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2A35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A3519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78E3" w14:paraId="0CEF30DC" w14:textId="77777777">
        <w:trPr>
          <w:trHeight w:val="690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5067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Felnőttképzési szakértő neve,</w:t>
            </w:r>
          </w:p>
          <w:p w14:paraId="5F75737B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nyilvántartási száma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1D63" w14:textId="77777777" w:rsidR="00C178E3" w:rsidRDefault="00000000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Pádár Tivadar</w:t>
            </w:r>
          </w:p>
          <w:p w14:paraId="1260216E" w14:textId="77777777" w:rsidR="00C178E3" w:rsidRDefault="00000000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FSZ/2020/000057</w:t>
            </w:r>
          </w:p>
        </w:tc>
      </w:tr>
      <w:tr w:rsidR="00C178E3" w14:paraId="147715C1" w14:textId="77777777">
        <w:trPr>
          <w:trHeight w:val="700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2EBA" w14:textId="77777777" w:rsidR="00C178E3" w:rsidRDefault="00000000">
            <w:pPr>
              <w:pStyle w:val="Standard"/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Felnőttképzési szakértő aláírása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885C" w14:textId="77777777" w:rsidR="00C178E3" w:rsidRDefault="00C178E3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8A48E8" w14:textId="77777777" w:rsidR="00C178E3" w:rsidRDefault="00C178E3">
      <w:pPr>
        <w:pStyle w:val="Standard"/>
        <w:jc w:val="center"/>
      </w:pPr>
    </w:p>
    <w:p w14:paraId="4F1BC42C" w14:textId="77777777" w:rsidR="00C178E3" w:rsidRDefault="00C178E3">
      <w:pPr>
        <w:pStyle w:val="Standard"/>
        <w:jc w:val="center"/>
        <w:rPr>
          <w:rFonts w:cs="Calibri"/>
          <w:b/>
          <w:sz w:val="20"/>
          <w:szCs w:val="20"/>
        </w:rPr>
      </w:pPr>
    </w:p>
    <w:p w14:paraId="7741A84B" w14:textId="77777777" w:rsidR="00C178E3" w:rsidRDefault="00C178E3">
      <w:pPr>
        <w:pStyle w:val="Standard"/>
        <w:jc w:val="center"/>
        <w:rPr>
          <w:rFonts w:cs="Calibri"/>
          <w:b/>
          <w:sz w:val="20"/>
          <w:szCs w:val="20"/>
        </w:rPr>
      </w:pPr>
    </w:p>
    <w:p w14:paraId="2CE23D0F" w14:textId="77777777" w:rsidR="00C178E3" w:rsidRDefault="00C178E3">
      <w:pPr>
        <w:pStyle w:val="Standard"/>
        <w:jc w:val="center"/>
        <w:rPr>
          <w:rFonts w:cs="Calibri"/>
          <w:b/>
          <w:sz w:val="20"/>
          <w:szCs w:val="20"/>
        </w:rPr>
      </w:pPr>
    </w:p>
    <w:p w14:paraId="7E4D2D01" w14:textId="77777777" w:rsidR="00C178E3" w:rsidRDefault="00C178E3">
      <w:pPr>
        <w:pStyle w:val="Standard"/>
        <w:rPr>
          <w:rFonts w:cs="Calibri"/>
          <w:b/>
          <w:sz w:val="40"/>
          <w:szCs w:val="40"/>
        </w:rPr>
      </w:pPr>
    </w:p>
    <w:p w14:paraId="71C48748" w14:textId="77777777" w:rsidR="00C178E3" w:rsidRDefault="00C178E3">
      <w:pPr>
        <w:pStyle w:val="Standard"/>
        <w:pageBreakBefore/>
        <w:jc w:val="center"/>
        <w:rPr>
          <w:b/>
          <w:sz w:val="40"/>
          <w:szCs w:val="40"/>
        </w:rPr>
      </w:pPr>
    </w:p>
    <w:p w14:paraId="1B86C22E" w14:textId="77777777" w:rsidR="00C178E3" w:rsidRDefault="00C178E3">
      <w:pPr>
        <w:pStyle w:val="Standard"/>
        <w:jc w:val="center"/>
        <w:rPr>
          <w:b/>
          <w:sz w:val="40"/>
          <w:szCs w:val="40"/>
        </w:rPr>
      </w:pPr>
    </w:p>
    <w:p w14:paraId="1BD41D47" w14:textId="77777777" w:rsidR="00C178E3" w:rsidRDefault="00C178E3">
      <w:pPr>
        <w:pStyle w:val="Standard"/>
        <w:jc w:val="center"/>
        <w:rPr>
          <w:b/>
          <w:sz w:val="40"/>
          <w:szCs w:val="40"/>
        </w:rPr>
      </w:pPr>
    </w:p>
    <w:p w14:paraId="3373F9F8" w14:textId="77777777" w:rsidR="00C178E3" w:rsidRDefault="00C178E3">
      <w:pPr>
        <w:pStyle w:val="Standard"/>
        <w:jc w:val="center"/>
        <w:rPr>
          <w:b/>
          <w:sz w:val="40"/>
          <w:szCs w:val="40"/>
        </w:rPr>
      </w:pPr>
    </w:p>
    <w:p w14:paraId="03497C62" w14:textId="77777777" w:rsidR="00C178E3" w:rsidRDefault="00000000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KÉPZÉSI PROGRAM</w:t>
      </w:r>
    </w:p>
    <w:p w14:paraId="3535748C" w14:textId="77777777" w:rsidR="00C178E3" w:rsidRDefault="00000000">
      <w:pPr>
        <w:pStyle w:val="Standard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SZAKMAI KÉPZÉS</w:t>
      </w:r>
    </w:p>
    <w:p w14:paraId="5EC4FA7F" w14:textId="77777777" w:rsidR="00C178E3" w:rsidRDefault="00C178E3">
      <w:pPr>
        <w:pStyle w:val="Standard"/>
        <w:jc w:val="center"/>
        <w:rPr>
          <w:b/>
          <w:sz w:val="24"/>
          <w:szCs w:val="24"/>
        </w:rPr>
      </w:pPr>
    </w:p>
    <w:p w14:paraId="45CAD099" w14:textId="77777777" w:rsidR="00C178E3" w:rsidRDefault="00C178E3">
      <w:pPr>
        <w:pStyle w:val="Standard"/>
        <w:rPr>
          <w:sz w:val="24"/>
          <w:szCs w:val="24"/>
        </w:rPr>
      </w:pPr>
    </w:p>
    <w:p w14:paraId="10B15E18" w14:textId="77777777" w:rsidR="00C178E3" w:rsidRDefault="00C178E3">
      <w:pPr>
        <w:pStyle w:val="Standard"/>
        <w:jc w:val="center"/>
        <w:rPr>
          <w:sz w:val="24"/>
          <w:szCs w:val="24"/>
        </w:rPr>
      </w:pPr>
    </w:p>
    <w:p w14:paraId="7F737065" w14:textId="77777777" w:rsidR="00C178E3" w:rsidRDefault="00000000">
      <w:pPr>
        <w:pStyle w:val="Standard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Gumiabroncs-javító és </w:t>
      </w:r>
      <w:proofErr w:type="spellStart"/>
      <w:r>
        <w:rPr>
          <w:b/>
          <w:smallCaps/>
          <w:sz w:val="28"/>
          <w:szCs w:val="28"/>
        </w:rPr>
        <w:t>kerékkiegyensúlyozó</w:t>
      </w:r>
      <w:proofErr w:type="spellEnd"/>
    </w:p>
    <w:p w14:paraId="0AABBCF1" w14:textId="2916C778" w:rsidR="00C178E3" w:rsidRDefault="00000000">
      <w:pPr>
        <w:pStyle w:val="Standard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(Programkövetelmény azonosító száma: 07153009)</w:t>
      </w:r>
    </w:p>
    <w:p w14:paraId="36686891" w14:textId="7B297048" w:rsidR="00375307" w:rsidRPr="002C2D85" w:rsidRDefault="00375307" w:rsidP="00375307">
      <w:pPr>
        <w:jc w:val="center"/>
        <w:rPr>
          <w:b/>
          <w:smallCaps/>
          <w:sz w:val="28"/>
          <w:szCs w:val="28"/>
        </w:rPr>
      </w:pPr>
      <w:r w:rsidRPr="002C2D85">
        <w:rPr>
          <w:b/>
          <w:smallCaps/>
          <w:sz w:val="28"/>
          <w:szCs w:val="28"/>
        </w:rPr>
        <w:t>A programkövetelmény megjelenésének dátuma: 202</w:t>
      </w:r>
      <w:r>
        <w:rPr>
          <w:b/>
          <w:smallCaps/>
          <w:sz w:val="28"/>
          <w:szCs w:val="28"/>
        </w:rPr>
        <w:t>1</w:t>
      </w:r>
      <w:r w:rsidRPr="002C2D85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március</w:t>
      </w:r>
      <w:r w:rsidRPr="002C2D85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5</w:t>
      </w:r>
      <w:r w:rsidRPr="002C2D85">
        <w:rPr>
          <w:b/>
          <w:smallCaps/>
          <w:sz w:val="28"/>
          <w:szCs w:val="28"/>
        </w:rPr>
        <w:t>.</w:t>
      </w:r>
    </w:p>
    <w:p w14:paraId="69EF1FFB" w14:textId="77777777" w:rsidR="00375307" w:rsidRDefault="00375307">
      <w:pPr>
        <w:pStyle w:val="Standard"/>
        <w:jc w:val="center"/>
        <w:rPr>
          <w:b/>
          <w:smallCaps/>
          <w:sz w:val="28"/>
          <w:szCs w:val="28"/>
        </w:rPr>
      </w:pPr>
    </w:p>
    <w:p w14:paraId="797C32E7" w14:textId="77777777" w:rsidR="00C178E3" w:rsidRDefault="00C178E3">
      <w:pPr>
        <w:pStyle w:val="Standard"/>
        <w:jc w:val="center"/>
        <w:rPr>
          <w:b/>
          <w:smallCaps/>
          <w:sz w:val="28"/>
          <w:szCs w:val="28"/>
          <w:shd w:val="clear" w:color="auto" w:fill="FFFF00"/>
        </w:rPr>
      </w:pPr>
    </w:p>
    <w:p w14:paraId="2CB9C174" w14:textId="77777777" w:rsidR="00C178E3" w:rsidRDefault="00C178E3">
      <w:pPr>
        <w:pStyle w:val="Standard"/>
        <w:jc w:val="center"/>
        <w:rPr>
          <w:b/>
          <w:smallCaps/>
          <w:sz w:val="28"/>
          <w:szCs w:val="28"/>
          <w:shd w:val="clear" w:color="auto" w:fill="00FFFF"/>
        </w:rPr>
      </w:pPr>
    </w:p>
    <w:p w14:paraId="6D3F4A97" w14:textId="77777777" w:rsidR="00C178E3" w:rsidRDefault="00C178E3">
      <w:pPr>
        <w:pStyle w:val="Standard"/>
        <w:rPr>
          <w:rFonts w:cs="Calibri"/>
          <w:b/>
          <w:bCs/>
          <w:sz w:val="24"/>
          <w:szCs w:val="24"/>
        </w:rPr>
      </w:pPr>
    </w:p>
    <w:p w14:paraId="301D7FB0" w14:textId="77777777" w:rsidR="00C178E3" w:rsidRDefault="00000000">
      <w:pPr>
        <w:pStyle w:val="Standard"/>
        <w:pageBreakBefore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1. Alapadatok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4110"/>
        <w:gridCol w:w="4401"/>
      </w:tblGrid>
      <w:tr w:rsidR="00C178E3" w14:paraId="1798A951" w14:textId="77777777">
        <w:trPr>
          <w:trHeight w:val="51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4E16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 programkövetelmény alapján szervezhető szakmai képzés:</w:t>
            </w:r>
          </w:p>
        </w:tc>
      </w:tr>
      <w:tr w:rsidR="00C178E3" w14:paraId="58BB640D" w14:textId="77777777">
        <w:trPr>
          <w:trHeight w:val="5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3DB3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DB7C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Megnevezése: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0D9F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Gumiabroncs-javító és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kerékkiegyensúlyozó</w:t>
            </w:r>
            <w:proofErr w:type="spellEnd"/>
          </w:p>
        </w:tc>
      </w:tr>
      <w:tr w:rsidR="00C178E3" w14:paraId="267E6DE1" w14:textId="77777777">
        <w:trPr>
          <w:trHeight w:val="5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3804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BD81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Programkövetelmény azonosító száma: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E5B7" w14:textId="77777777" w:rsidR="00C178E3" w:rsidRDefault="00000000">
            <w:pPr>
              <w:pStyle w:val="Standard"/>
              <w:rPr>
                <w:rFonts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cs="Calibri"/>
                <w:b/>
                <w:bCs/>
                <w:smallCaps/>
                <w:sz w:val="20"/>
                <w:szCs w:val="20"/>
              </w:rPr>
              <w:t>07153009</w:t>
            </w:r>
          </w:p>
        </w:tc>
      </w:tr>
      <w:tr w:rsidR="00C178E3" w14:paraId="6FABB626" w14:textId="77777777">
        <w:trPr>
          <w:trHeight w:val="5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26C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A808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Ágazat megnevezése: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26A6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Specializált gép- és járműgyártás</w:t>
            </w:r>
          </w:p>
        </w:tc>
      </w:tr>
      <w:tr w:rsidR="00C178E3" w14:paraId="359C9E90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B5C9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9BBC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Besorolása a képzési területek egységes osztályozási rendszere (KEOR) szerinti kód alapján: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7295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0715 Gépgyártás, műszer- és fémipar</w:t>
            </w:r>
          </w:p>
        </w:tc>
      </w:tr>
      <w:tr w:rsidR="00C178E3" w14:paraId="2C365CF9" w14:textId="77777777">
        <w:trPr>
          <w:trHeight w:val="372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CB62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 programkövetelmény alapján szervezhető szakmai képzéssel megszerezhető szakképesítés:</w:t>
            </w:r>
          </w:p>
        </w:tc>
      </w:tr>
      <w:tr w:rsidR="00C178E3" w14:paraId="06916D0F" w14:textId="77777777">
        <w:trPr>
          <w:trHeight w:val="4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854A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30A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Megnevezése: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C55E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Gumiabroncs-javító és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kerékkiegyensúlyozó</w:t>
            </w:r>
            <w:proofErr w:type="spellEnd"/>
          </w:p>
        </w:tc>
      </w:tr>
      <w:tr w:rsidR="00C178E3" w14:paraId="7B04A018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9DFC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959B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Európai Képesítési Keretrendszer (EKKR) szerinti szint: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129B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C178E3" w14:paraId="619E0D53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BD1D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003D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Magyar Képesítési Keretrendszer (MKKR) szerint szint: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03FF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C178E3" w14:paraId="074F0386" w14:textId="77777777">
        <w:trPr>
          <w:trHeight w:val="3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122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41D2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Digitális Kompetencia Keretrendszer szerinti szint: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FA39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178E3" w14:paraId="1CB95241" w14:textId="7777777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E299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1.9.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D42" w14:textId="77777777" w:rsidR="00C178E3" w:rsidRDefault="00000000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A programkövetelmény alapján szervezhető szakmai képzéssel megszerezhető szakképesítés és az azzal betölthető munkakör vagy végezhető tevékenység kapcsolata, összefüggése</w:t>
            </w:r>
            <w:r>
              <w:rPr>
                <w:sz w:val="20"/>
                <w:szCs w:val="20"/>
              </w:rPr>
              <w:t xml:space="preserve"> képesítési követelményt előíró jogszabály:</w:t>
            </w:r>
          </w:p>
        </w:tc>
      </w:tr>
      <w:tr w:rsidR="00C178E3" w14:paraId="6A91DA41" w14:textId="77777777">
        <w:trPr>
          <w:trHeight w:val="792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40B6" w14:textId="77777777" w:rsidR="00C178E3" w:rsidRDefault="00C178E3">
            <w:pPr>
              <w:suppressAutoHyphens w:val="0"/>
            </w:pP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4954" w14:textId="34F793B9" w:rsidR="00C178E3" w:rsidRDefault="002A3519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képesítési követelményt előíró jogszabály:</w:t>
            </w:r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1/1990. (IX. 29.) KHVM rendelet a gépjárműfenntartó tevékenység személyi és dologi feltételeiről.</w:t>
            </w:r>
          </w:p>
          <w:p w14:paraId="53E8C4B4" w14:textId="419F8EB9" w:rsidR="00375307" w:rsidRDefault="00375307">
            <w:pPr>
              <w:pStyle w:val="Standard"/>
              <w:spacing w:before="120" w:after="120"/>
              <w:rPr>
                <w:sz w:val="20"/>
                <w:szCs w:val="20"/>
              </w:rPr>
            </w:pPr>
            <w:r w:rsidRPr="00375307">
              <w:rPr>
                <w:sz w:val="20"/>
                <w:szCs w:val="20"/>
              </w:rPr>
              <w:t xml:space="preserve">A gumiabroncs-javító és </w:t>
            </w:r>
            <w:proofErr w:type="spellStart"/>
            <w:r w:rsidRPr="00375307">
              <w:rPr>
                <w:sz w:val="20"/>
                <w:szCs w:val="20"/>
              </w:rPr>
              <w:t>kerékkiegyensúlyozó</w:t>
            </w:r>
            <w:proofErr w:type="spellEnd"/>
            <w:r w:rsidRPr="00375307">
              <w:rPr>
                <w:sz w:val="20"/>
                <w:szCs w:val="20"/>
              </w:rPr>
              <w:t xml:space="preserve"> feladata a gumiabroncsok szerviztevékenységét végző műhely üzemeltetése. A gépjármű kerékpánttal, gumiabronccsal és keréknyomásfigyelő rendszerekkel, valamint azok tartozékaival kapcsolatos feladatok ellátása a kereskedelem, a javítás, a szerelés, a kiegyensúlyozás, a tárolás, a környezetvédelem, a munkavédelem területén. A szakemberek a fenti feladatokat önállóan vagy a műhelyben dolgozó kollégáikkal együttműködve végzik.</w:t>
            </w:r>
          </w:p>
          <w:p w14:paraId="3B69F2BC" w14:textId="777777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közlekedésbiztonság szempontjából kiemelkedően fontos – időjárási viszonyoktól függetlenül – a megfelelő tapadás. A kerekeken keresztül visszük át ugyanis mind a vonzóerőt, mind a fékerőt, mind az oldalvezető erőt. A megfelelően kiválasztott, jó minőségű gumiabroncs meghatározó a jármű zajkibocsátása és tüzelőanyagfogyasztása szempontjából is. A gumiabroncs kopó és öregedő alkatrész, sőt ideális esetben télen és nyáron másik készletet használunk. Ez egyben azt is jelenti, hogy jelentős a piaci igény a gumiabroncsok szerelésére, javítására és természetesen értékesítésére is.</w:t>
            </w:r>
            <w:r>
              <w:rPr>
                <w:sz w:val="20"/>
                <w:szCs w:val="20"/>
              </w:rPr>
              <w:br/>
            </w:r>
          </w:p>
        </w:tc>
      </w:tr>
      <w:tr w:rsidR="00C178E3" w14:paraId="3C6FC927" w14:textId="7777777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E626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1.10.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2748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célja:</w:t>
            </w:r>
          </w:p>
        </w:tc>
      </w:tr>
      <w:tr w:rsidR="00C178E3" w14:paraId="6D000EC3" w14:textId="77777777">
        <w:trPr>
          <w:trHeight w:val="73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A866" w14:textId="77777777" w:rsidR="00C178E3" w:rsidRDefault="00C178E3">
            <w:pPr>
              <w:suppressAutoHyphens w:val="0"/>
            </w:pP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129E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sz w:val="20"/>
                <w:szCs w:val="20"/>
              </w:rPr>
              <w:t xml:space="preserve">A képzés célja, hogy a képzésben résztvevő sajátítsa el a </w:t>
            </w:r>
            <w:r>
              <w:rPr>
                <w:rFonts w:cs="Calibri"/>
                <w:b/>
                <w:sz w:val="20"/>
                <w:szCs w:val="20"/>
              </w:rPr>
              <w:t xml:space="preserve">Gumiabroncs-javító és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kerékkiegyensúlyozó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szakképesítés megszerzéséhez szükséges elméleti és gyakorlati ismereteket, készségeket és kompetenciákat.</w:t>
            </w:r>
          </w:p>
        </w:tc>
      </w:tr>
      <w:tr w:rsidR="00C178E3" w14:paraId="2918C2F9" w14:textId="7777777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471A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1.11.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787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célcsoportja:</w:t>
            </w:r>
          </w:p>
        </w:tc>
      </w:tr>
      <w:tr w:rsidR="00C178E3" w14:paraId="187B597A" w14:textId="77777777">
        <w:trPr>
          <w:trHeight w:val="72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9337" w14:textId="77777777" w:rsidR="00C178E3" w:rsidRDefault="00C178E3">
            <w:pPr>
              <w:suppressAutoHyphens w:val="0"/>
            </w:pP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66C5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célcsoportját jelenti minden olyan személy, aki a belépési feltételeknek megfelel és a képzési programmal elérhető ismeretek, készségek és kompetenciák megszerzését tűzte ki célként maga elé.</w:t>
            </w:r>
          </w:p>
        </w:tc>
      </w:tr>
    </w:tbl>
    <w:p w14:paraId="727C0AD8" w14:textId="77777777" w:rsidR="00375307" w:rsidRDefault="00375307">
      <w:r>
        <w:br w:type="page"/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8511"/>
      </w:tblGrid>
      <w:tr w:rsidR="00C178E3" w14:paraId="5D7C48B2" w14:textId="7777777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62DA" w14:textId="43641B6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49D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során megszerezhető kompetenciák:</w:t>
            </w:r>
          </w:p>
        </w:tc>
      </w:tr>
      <w:tr w:rsidR="00C178E3" w14:paraId="2C3D8E51" w14:textId="77777777">
        <w:trPr>
          <w:trHeight w:val="159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B075" w14:textId="77777777" w:rsidR="00C178E3" w:rsidRDefault="00C178E3">
            <w:pPr>
              <w:suppressAutoHyphens w:val="0"/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192C" w14:textId="777777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kerék gépjárműre való és a gumiabroncs kerékpántra való fel- és leszerelését végzi.</w:t>
            </w:r>
            <w:r>
              <w:rPr>
                <w:sz w:val="20"/>
                <w:szCs w:val="20"/>
              </w:rPr>
              <w:br/>
              <w:t>• Mobil és stabil kiegyensúlyozó gépeken a kerék kiegyensúlyozását végzi.</w:t>
            </w:r>
            <w:r>
              <w:rPr>
                <w:sz w:val="20"/>
                <w:szCs w:val="20"/>
              </w:rPr>
              <w:br/>
              <w:t>• A kerékpánt és gumiabroncs hibáit megállapítja.</w:t>
            </w:r>
            <w:r>
              <w:rPr>
                <w:sz w:val="20"/>
                <w:szCs w:val="20"/>
              </w:rPr>
              <w:br/>
              <w:t>• Gumiabroncs javíthatóságát megállapítja.</w:t>
            </w:r>
            <w:r>
              <w:rPr>
                <w:sz w:val="20"/>
                <w:szCs w:val="20"/>
              </w:rPr>
              <w:br/>
              <w:t>• Gumiabroncs és tömlőjavítást végez.</w:t>
            </w:r>
            <w:r>
              <w:rPr>
                <w:sz w:val="20"/>
                <w:szCs w:val="20"/>
              </w:rPr>
              <w:br/>
              <w:t>• A kerékpánt és gumiabroncs, adott gépjárműre való szerelhetőségét (oldal, forgásirány) megállapítja.</w:t>
            </w:r>
            <w:r>
              <w:rPr>
                <w:sz w:val="20"/>
                <w:szCs w:val="20"/>
              </w:rPr>
              <w:br/>
              <w:t>• Gondoskodik a gumiabroncs szerviz üzemeltetéséről.</w:t>
            </w:r>
            <w:r>
              <w:rPr>
                <w:sz w:val="20"/>
                <w:szCs w:val="20"/>
              </w:rPr>
              <w:br/>
              <w:t>• Kerékpántokkal, gumiabroncsokkal és azok tartozékaival kereskedik.</w:t>
            </w:r>
            <w:r>
              <w:rPr>
                <w:sz w:val="20"/>
                <w:szCs w:val="20"/>
              </w:rPr>
              <w:br/>
              <w:t>• Új, használt és selejt kerékpántok, gumiabroncsok, és tartozékok szakszerű tárolásáról gondoskodik.</w:t>
            </w:r>
            <w:r>
              <w:rPr>
                <w:sz w:val="20"/>
                <w:szCs w:val="20"/>
              </w:rPr>
              <w:br/>
              <w:t>• TPMS kerékszenzort diagnosztizál és programoz. A különböző TPMS szenzorokat az adott típusnak megfelelően szereli.</w:t>
            </w:r>
            <w:r>
              <w:rPr>
                <w:sz w:val="20"/>
                <w:szCs w:val="20"/>
              </w:rPr>
              <w:br/>
              <w:t>• Betartja és betartatja a munka-, tűz-, és környezetvédelmi szabályokat.</w:t>
            </w:r>
            <w:r>
              <w:rPr>
                <w:sz w:val="20"/>
                <w:szCs w:val="20"/>
              </w:rPr>
              <w:br/>
              <w:t>• Ügyfelekkel, ellenőrző hatóságokkal kapcsolatot tart, reklamációt kezel.</w:t>
            </w:r>
            <w:r>
              <w:rPr>
                <w:sz w:val="20"/>
                <w:szCs w:val="20"/>
              </w:rPr>
              <w:br/>
              <w:t>• Számlát készít, pénztárt kezel.</w:t>
            </w:r>
            <w:r>
              <w:rPr>
                <w:sz w:val="20"/>
                <w:szCs w:val="20"/>
              </w:rPr>
              <w:br/>
              <w:t>• Raktárkészletet kezel. Munkájához kapcsolódó adminisztrációs feladatokat végez.</w:t>
            </w:r>
          </w:p>
        </w:tc>
      </w:tr>
    </w:tbl>
    <w:p w14:paraId="50899164" w14:textId="77777777" w:rsidR="00C178E3" w:rsidRDefault="00C178E3">
      <w:pPr>
        <w:pStyle w:val="Standard"/>
      </w:pPr>
    </w:p>
    <w:p w14:paraId="489B8C9C" w14:textId="77777777" w:rsidR="00C178E3" w:rsidRDefault="00000000">
      <w:pPr>
        <w:pStyle w:val="Listaszerbekezds"/>
        <w:spacing w:after="12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 képzésbe való bekapcsolódás és részvétel feltételei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021"/>
        <w:gridCol w:w="5487"/>
      </w:tblGrid>
      <w:tr w:rsidR="00C178E3" w14:paraId="3F1AB24C" w14:textId="77777777">
        <w:trPr>
          <w:trHeight w:val="3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0A00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66DC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Iskolai előképzettség: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DCFC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alapfokú iskolai végzettség</w:t>
            </w:r>
          </w:p>
        </w:tc>
      </w:tr>
      <w:tr w:rsidR="00C178E3" w14:paraId="1E7CF533" w14:textId="77777777">
        <w:trPr>
          <w:trHeight w:val="4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E619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3AC8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Szakmai előképzettség: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BB2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  <w:tr w:rsidR="00C178E3" w14:paraId="03437E4D" w14:textId="77777777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63F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2.3.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FA27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Egészségügyi alkalmassági követelmény: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8FB2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szükséges</w:t>
            </w:r>
          </w:p>
        </w:tc>
      </w:tr>
      <w:tr w:rsidR="00C178E3" w14:paraId="2495B801" w14:textId="77777777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1342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A929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Szakmai gyakorlat területe és időtartama: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871A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  <w:tr w:rsidR="00C178E3" w14:paraId="37548D43" w14:textId="77777777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C3C0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57DE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Szakmai adottságok, készségek felmérése: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C58E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  <w:tr w:rsidR="00C178E3" w14:paraId="44C28DAA" w14:textId="77777777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116A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F3AF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Pályaalkalmassági követelmény: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7B28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  <w:tr w:rsidR="00C178E3" w14:paraId="37C59733" w14:textId="77777777">
        <w:trPr>
          <w:trHeight w:val="4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8E5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2.7.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B847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Egyéb feltételek: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6990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</w:tbl>
    <w:p w14:paraId="324649DB" w14:textId="77777777" w:rsidR="00C178E3" w:rsidRDefault="00C178E3">
      <w:pPr>
        <w:pStyle w:val="Standard"/>
        <w:rPr>
          <w:rFonts w:cs="Calibri"/>
          <w:sz w:val="20"/>
          <w:szCs w:val="20"/>
        </w:rPr>
      </w:pPr>
    </w:p>
    <w:p w14:paraId="4D8C3797" w14:textId="77777777" w:rsidR="00C178E3" w:rsidRDefault="00000000">
      <w:pPr>
        <w:pStyle w:val="Standard"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 Tervezett képzési idő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021"/>
        <w:gridCol w:w="5487"/>
      </w:tblGrid>
      <w:tr w:rsidR="00C178E3" w14:paraId="23519F66" w14:textId="77777777">
        <w:trPr>
          <w:trHeight w:val="5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7E50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9077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A képzés óraszáma: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F10F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</w:t>
            </w:r>
          </w:p>
        </w:tc>
      </w:tr>
      <w:tr w:rsidR="00C178E3" w14:paraId="4C57712A" w14:textId="77777777">
        <w:trPr>
          <w:trHeight w:val="56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C275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B109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Megengedett hiányzás mértéke: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7865" w14:textId="47C39F01" w:rsidR="00C178E3" w:rsidRDefault="002A3519">
            <w:pPr>
              <w:pStyle w:val="Standard"/>
              <w:tabs>
                <w:tab w:val="left" w:pos="1576"/>
              </w:tabs>
              <w:rPr>
                <w:rFonts w:eastAsia="Times New Roman" w:cs="Calibri"/>
                <w:iCs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iCs/>
                <w:spacing w:val="-6"/>
                <w:sz w:val="20"/>
                <w:szCs w:val="20"/>
                <w:lang w:eastAsia="nl-NL"/>
              </w:rPr>
              <w:t>33</w:t>
            </w:r>
            <w:r w:rsidR="00000000">
              <w:rPr>
                <w:rFonts w:eastAsia="Times New Roman" w:cs="Calibri"/>
                <w:iCs/>
                <w:spacing w:val="-6"/>
                <w:sz w:val="20"/>
                <w:szCs w:val="20"/>
                <w:lang w:eastAsia="nl-NL"/>
              </w:rPr>
              <w:t>0%</w:t>
            </w:r>
          </w:p>
        </w:tc>
      </w:tr>
    </w:tbl>
    <w:p w14:paraId="519D341F" w14:textId="77777777" w:rsidR="00C178E3" w:rsidRDefault="00C178E3">
      <w:pPr>
        <w:pStyle w:val="Standard"/>
        <w:rPr>
          <w:rFonts w:cs="Calibri"/>
          <w:b/>
          <w:bCs/>
          <w:sz w:val="24"/>
          <w:szCs w:val="24"/>
        </w:rPr>
      </w:pPr>
    </w:p>
    <w:p w14:paraId="16E55744" w14:textId="77777777" w:rsidR="00C178E3" w:rsidRDefault="00000000">
      <w:pPr>
        <w:pStyle w:val="Standard"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4. Tananyagegységek/témakörök/modulok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6832"/>
        <w:gridCol w:w="1632"/>
      </w:tblGrid>
      <w:tr w:rsidR="00C178E3" w14:paraId="5B68FB25" w14:textId="77777777"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28C" w14:textId="77777777" w:rsidR="00C178E3" w:rsidRDefault="00000000">
            <w:pPr>
              <w:pStyle w:val="Standard"/>
              <w:jc w:val="center"/>
            </w:pPr>
            <w:r>
              <w:rPr>
                <w:rFonts w:cs="Calibri"/>
                <w:sz w:val="20"/>
                <w:szCs w:val="20"/>
              </w:rPr>
              <w:t>A képzés tananyagegységeinek/témaköreinek/moduljainak megnevezése</w:t>
            </w:r>
            <w:r>
              <w:rPr>
                <w:rStyle w:val="Lbjegyzet-hivatkozs"/>
                <w:rFonts w:cs="Calibri"/>
                <w:sz w:val="20"/>
                <w:szCs w:val="20"/>
              </w:rPr>
              <w:footnoteReference w:id="1"/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339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Óraszáma:</w:t>
            </w:r>
          </w:p>
        </w:tc>
      </w:tr>
      <w:tr w:rsidR="00C178E3" w14:paraId="6E4A720E" w14:textId="77777777">
        <w:trPr>
          <w:trHeight w:val="47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A07E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EAC0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Gumiabroncs-javító és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kerékkiegyensúlyozó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8D96" w14:textId="77777777" w:rsidR="00C178E3" w:rsidRDefault="00000000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</w:t>
            </w:r>
          </w:p>
        </w:tc>
      </w:tr>
    </w:tbl>
    <w:p w14:paraId="390676A0" w14:textId="77777777" w:rsidR="00C178E3" w:rsidRDefault="00C178E3">
      <w:pPr>
        <w:pStyle w:val="Standard"/>
      </w:pPr>
    </w:p>
    <w:p w14:paraId="1F2E4858" w14:textId="77777777" w:rsidR="00375307" w:rsidRDefault="00375307">
      <w:pPr>
        <w:suppressAutoHyphens w:val="0"/>
        <w:rPr>
          <w:rFonts w:cs="Calibri"/>
          <w:b/>
          <w:bCs/>
        </w:rPr>
      </w:pPr>
      <w:bookmarkStart w:id="0" w:name="4"/>
      <w:r>
        <w:rPr>
          <w:rFonts w:cs="Calibri"/>
          <w:b/>
          <w:bCs/>
        </w:rPr>
        <w:br w:type="page"/>
      </w:r>
    </w:p>
    <w:p w14:paraId="4801B58F" w14:textId="1BB8E4CD" w:rsidR="00C178E3" w:rsidRDefault="00000000">
      <w:pPr>
        <w:pStyle w:val="Standard"/>
      </w:pPr>
      <w:r>
        <w:rPr>
          <w:rFonts w:cs="Calibri"/>
          <w:b/>
          <w:bCs/>
        </w:rPr>
        <w:lastRenderedPageBreak/>
        <w:t>4.1. Tananyagegység/témakör/modul</w:t>
      </w:r>
      <w:r>
        <w:rPr>
          <w:rStyle w:val="Lbjegyzet-hivatkozs"/>
          <w:rFonts w:cs="Calibri"/>
          <w:b/>
          <w:bCs/>
        </w:rPr>
        <w:footnoteReference w:id="2"/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3261"/>
        <w:gridCol w:w="5220"/>
      </w:tblGrid>
      <w:tr w:rsidR="00C178E3" w14:paraId="38D95C10" w14:textId="77777777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1C33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7D8F" w14:textId="77777777" w:rsidR="00C178E3" w:rsidRDefault="00000000">
            <w:pPr>
              <w:pStyle w:val="Standard"/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Megnevezése</w:t>
            </w:r>
            <w:r>
              <w:rPr>
                <w:rStyle w:val="Lbjegyzet-hivatkozs"/>
                <w:rFonts w:eastAsia="Times New Roman" w:cs="Calibri"/>
                <w:spacing w:val="-6"/>
                <w:sz w:val="20"/>
                <w:szCs w:val="20"/>
                <w:lang w:eastAsia="nl-NL"/>
              </w:rPr>
              <w:footnoteReference w:id="3"/>
            </w: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B728" w14:textId="77777777" w:rsidR="00C178E3" w:rsidRDefault="0000000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Gumiabroncs-javító és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kerékkiegyensúlyozó</w:t>
            </w:r>
            <w:proofErr w:type="spellEnd"/>
          </w:p>
        </w:tc>
      </w:tr>
      <w:tr w:rsidR="00C178E3" w14:paraId="01DA7F57" w14:textId="77777777">
        <w:trPr>
          <w:trHeight w:val="69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A643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00A6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D5DE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sz w:val="20"/>
                <w:szCs w:val="20"/>
              </w:rPr>
              <w:t xml:space="preserve">A képzésben résztvevő sajátítsa el a </w:t>
            </w:r>
            <w:r>
              <w:rPr>
                <w:rFonts w:cs="Calibri"/>
                <w:b/>
                <w:sz w:val="20"/>
                <w:szCs w:val="20"/>
              </w:rPr>
              <w:t xml:space="preserve">Gumiabroncs-javító és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kerékkiegyensúlyozó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szakképesítés megszerzéséhez szükséges elméleti és gyakorlati ismereteket, készségeket és kompetenciákat.</w:t>
            </w:r>
          </w:p>
        </w:tc>
      </w:tr>
      <w:tr w:rsidR="00C178E3" w14:paraId="6952784E" w14:textId="77777777">
        <w:trPr>
          <w:trHeight w:val="5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F057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1B3D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D7A3" w14:textId="4D9A10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b/>
                <w:sz w:val="20"/>
                <w:szCs w:val="20"/>
              </w:rPr>
              <w:t>A képzésben részt vevő személyes jelenlétét vagy interaktív és távolléti kapcsolattal megvalósuló jelenlétét igénylő csoportos képzés, igény esetén konzultáció:</w:t>
            </w:r>
            <w:r>
              <w:rPr>
                <w:rFonts w:cs="Calibri"/>
                <w:sz w:val="20"/>
                <w:szCs w:val="20"/>
              </w:rPr>
              <w:t xml:space="preserve"> frontális oktatás, egyéni feladatmegoldás, csoportos munka, kooperatív csoportmunka.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</w:r>
            <w:r w:rsidRPr="002A3519">
              <w:rPr>
                <w:rFonts w:cs="Calibri"/>
                <w:b/>
                <w:bCs/>
                <w:sz w:val="20"/>
                <w:szCs w:val="20"/>
              </w:rPr>
              <w:t>A képzésben részt vevő személyes jelenlétét nem igénylő önálló tanulás (távoktatás):</w:t>
            </w:r>
            <w:r>
              <w:rPr>
                <w:rFonts w:cs="Calibri"/>
                <w:sz w:val="20"/>
                <w:szCs w:val="20"/>
              </w:rPr>
              <w:t xml:space="preserve"> távoktatási tananyagba épített iránymutatás, irányított tanulás, e-</w:t>
            </w:r>
            <w:proofErr w:type="spellStart"/>
            <w:r>
              <w:rPr>
                <w:rFonts w:cs="Calibri"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sz w:val="20"/>
                <w:szCs w:val="20"/>
              </w:rPr>
              <w:t>, digitális platformon való tananyagfeldolgozás, egyéni feladatmegoldás.</w:t>
            </w:r>
          </w:p>
        </w:tc>
      </w:tr>
      <w:tr w:rsidR="00C178E3" w14:paraId="0B63DAB9" w14:textId="77777777">
        <w:trPr>
          <w:trHeight w:val="68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3E5A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B965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2219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b/>
                <w:sz w:val="20"/>
                <w:szCs w:val="20"/>
              </w:rPr>
              <w:t>A tananyagegység/modul/témakör tartalmának, jellegének, a megvalósítás során alkalmazott munkaformának, valamint a csoport összetételének és igényeinek megfelelően a módszerek a következők lehetnek:</w:t>
            </w:r>
            <w:r>
              <w:rPr>
                <w:rFonts w:cs="Calibri"/>
                <w:sz w:val="20"/>
                <w:szCs w:val="20"/>
              </w:rPr>
              <w:t xml:space="preserve"> előadás, magyarázat, szemléltetés, megbeszélés, rendszerezés, megfigyelés, együttes és önálló tananyag feldolgozás, csoportos feladatmegoldás, gyakorlati feladatok megoldása, projektmódszer, feladatlap kitöltése, írásbeli felelet, házi feladat, kiadott feladatok pontosítása, távoktatási tananyag és tananyagba épített iránymutatás.</w:t>
            </w:r>
          </w:p>
        </w:tc>
      </w:tr>
      <w:tr w:rsidR="00C178E3" w14:paraId="3A3AD92F" w14:textId="77777777">
        <w:trPr>
          <w:trHeight w:val="58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A32F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E97C" w14:textId="77777777" w:rsidR="00C178E3" w:rsidRDefault="00000000">
            <w:pPr>
              <w:pStyle w:val="Standard"/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Óraszáma</w:t>
            </w:r>
            <w:r>
              <w:rPr>
                <w:rStyle w:val="Lbjegyzet-hivatkozs"/>
                <w:rFonts w:eastAsia="Times New Roman" w:cs="Calibri"/>
                <w:spacing w:val="-6"/>
                <w:sz w:val="20"/>
                <w:szCs w:val="20"/>
                <w:lang w:eastAsia="nl-NL"/>
              </w:rPr>
              <w:footnoteReference w:id="4"/>
            </w: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28B7" w14:textId="77777777" w:rsidR="00C178E3" w:rsidRDefault="00000000">
            <w:pPr>
              <w:pStyle w:val="Standard"/>
              <w:spacing w:before="60" w:after="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</w:t>
            </w:r>
          </w:p>
        </w:tc>
      </w:tr>
      <w:tr w:rsidR="00C178E3" w14:paraId="37B979F7" w14:textId="77777777">
        <w:trPr>
          <w:trHeight w:val="50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BEB5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0F66" w14:textId="77777777" w:rsidR="00C178E3" w:rsidRDefault="00000000">
            <w:pPr>
              <w:pStyle w:val="Standard"/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Beszámítható óraszáma</w:t>
            </w:r>
            <w:r>
              <w:rPr>
                <w:rStyle w:val="Lbjegyzet-hivatkozs"/>
                <w:rFonts w:eastAsia="Times New Roman" w:cs="Calibri"/>
                <w:spacing w:val="-6"/>
                <w:sz w:val="20"/>
                <w:szCs w:val="20"/>
                <w:lang w:eastAsia="nl-NL"/>
              </w:rPr>
              <w:footnoteReference w:id="5"/>
            </w: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C0C1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</w:tr>
      <w:tr w:rsidR="00C178E3" w14:paraId="25DD58ED" w14:textId="77777777">
        <w:trPr>
          <w:trHeight w:val="58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8C80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4.1.7</w:t>
            </w:r>
          </w:p>
        </w:tc>
        <w:tc>
          <w:tcPr>
            <w:tcW w:w="8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AEF2" w14:textId="77777777" w:rsidR="00C178E3" w:rsidRDefault="00000000">
            <w:pPr>
              <w:pStyle w:val="Standard"/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pacing w:val="-6"/>
                <w:sz w:val="20"/>
                <w:szCs w:val="20"/>
                <w:lang w:eastAsia="nl-NL"/>
              </w:rPr>
              <w:t>A megtanítandó és elsajátítandó tananyagegység/témakör/modul tartalma</w:t>
            </w:r>
          </w:p>
        </w:tc>
      </w:tr>
      <w:tr w:rsidR="00C178E3" w14:paraId="44A7FFDC" w14:textId="77777777">
        <w:trPr>
          <w:trHeight w:val="2202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204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3257"/>
              <w:gridCol w:w="5215"/>
            </w:tblGrid>
            <w:tr w:rsidR="00C178E3" w14:paraId="50B262CD" w14:textId="77777777">
              <w:trPr>
                <w:trHeight w:val="720"/>
                <w:jc w:val="right"/>
              </w:trPr>
              <w:tc>
                <w:tcPr>
                  <w:tcW w:w="732" w:type="dxa"/>
                  <w:vMerge w:val="restart"/>
                  <w:tcBorders>
                    <w:top w:val="single" w:sz="2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7A93BDD" w14:textId="77777777" w:rsidR="00C178E3" w:rsidRDefault="00000000">
                  <w:pPr>
                    <w:pStyle w:val="Standard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26A56DD" w14:textId="77777777" w:rsidR="00C178E3" w:rsidRDefault="00000000">
                  <w:pPr>
                    <w:pStyle w:val="Standard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Kapcsolódó foglalkozás(ok) megnevezése:</w:t>
                  </w:r>
                </w:p>
              </w:tc>
              <w:tc>
                <w:tcPr>
                  <w:tcW w:w="5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493445C" w14:textId="3238FFE7" w:rsidR="00C178E3" w:rsidRDefault="00000000">
                  <w:pPr>
                    <w:pStyle w:val="Standard"/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Gumiabroncs-javító és 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kerékkiegyensúlyozó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r w:rsidR="00375307">
                    <w:rPr>
                      <w:rFonts w:cs="Calibri"/>
                      <w:b/>
                      <w:sz w:val="20"/>
                      <w:szCs w:val="20"/>
                    </w:rPr>
                    <w:t xml:space="preserve">elméleti és gyakorlati 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>ismeretek</w:t>
                  </w:r>
                </w:p>
              </w:tc>
            </w:tr>
            <w:tr w:rsidR="00C178E3" w14:paraId="14F7606E" w14:textId="77777777">
              <w:trPr>
                <w:trHeight w:val="720"/>
                <w:jc w:val="right"/>
              </w:trPr>
              <w:tc>
                <w:tcPr>
                  <w:tcW w:w="732" w:type="dxa"/>
                  <w:vMerge/>
                  <w:tcBorders>
                    <w:top w:val="single" w:sz="2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685232B" w14:textId="77777777" w:rsidR="00C178E3" w:rsidRDefault="00C178E3">
                  <w:pPr>
                    <w:suppressAutoHyphens w:val="0"/>
                  </w:pPr>
                </w:p>
              </w:tc>
              <w:tc>
                <w:tcPr>
                  <w:tcW w:w="325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CA31A84" w14:textId="77777777" w:rsidR="00C178E3" w:rsidRDefault="00000000">
                  <w:pPr>
                    <w:pStyle w:val="Standard"/>
                  </w:pPr>
                  <w:r>
                    <w:rPr>
                      <w:rFonts w:cs="Calibri"/>
                      <w:sz w:val="20"/>
                      <w:szCs w:val="20"/>
                    </w:rPr>
                    <w:t>Kapcsolódó foglalkozás(ok) száma</w:t>
                  </w:r>
                  <w:r>
                    <w:rPr>
                      <w:rStyle w:val="Lbjegyzet-hivatkozs"/>
                      <w:rFonts w:cs="Calibri"/>
                      <w:sz w:val="20"/>
                      <w:szCs w:val="20"/>
                    </w:rPr>
                    <w:footnoteReference w:id="6"/>
                  </w:r>
                  <w:r>
                    <w:rPr>
                      <w:rFonts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83CF107" w14:textId="5896A72D" w:rsidR="00C178E3" w:rsidRDefault="00375307">
                  <w:pPr>
                    <w:pStyle w:val="Standard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500</w:t>
                  </w:r>
                </w:p>
              </w:tc>
            </w:tr>
            <w:tr w:rsidR="00C178E3" w14:paraId="0E11175B" w14:textId="77777777">
              <w:trPr>
                <w:trHeight w:val="816"/>
                <w:jc w:val="right"/>
              </w:trPr>
              <w:tc>
                <w:tcPr>
                  <w:tcW w:w="732" w:type="dxa"/>
                  <w:vMerge/>
                  <w:tcBorders>
                    <w:top w:val="single" w:sz="2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13B08FD" w14:textId="77777777" w:rsidR="00C178E3" w:rsidRDefault="00C178E3">
                  <w:pPr>
                    <w:suppressAutoHyphens w:val="0"/>
                  </w:pPr>
                </w:p>
              </w:tc>
              <w:tc>
                <w:tcPr>
                  <w:tcW w:w="3257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0D4D87C" w14:textId="77777777" w:rsidR="00C178E3" w:rsidRDefault="00000000">
                  <w:pPr>
                    <w:pStyle w:val="Standard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Kapcsolódó foglalkozás(ok) tartalmi elemei:</w:t>
                  </w:r>
                </w:p>
              </w:tc>
              <w:tc>
                <w:tcPr>
                  <w:tcW w:w="5215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421096F" w14:textId="23A5D8E3" w:rsidR="00375307" w:rsidRDefault="00000000" w:rsidP="00375307">
                  <w:pPr>
                    <w:pStyle w:val="Standard"/>
                    <w:spacing w:before="12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• A gumiabroncsok és kerékpántok fajtái, feliratai és méretmegadása. A kerékszerelő gépek felépítése, működése és használata. A mai modern segédkaros gépek kezelése, működése, gumiabroncsok felszereléséhez szükséges </w:t>
                  </w:r>
                  <w:r>
                    <w:rPr>
                      <w:rFonts w:cs="Calibri"/>
                      <w:sz w:val="20"/>
                      <w:szCs w:val="20"/>
                    </w:rPr>
                    <w:lastRenderedPageBreak/>
                    <w:t>használata. A járműre szerelés szakmai fogásai, és a kerékcsavarok meghúzási technológiája.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kerekek kiegyensúlyozatlanságának fajtái és kiegyensúlyozásuk lehetőségei. A mobil és stabil kiegyensúlyozó gépek.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kerékpántok és a gumiabroncsok jellemző meghibásodásai és az azokat kiváltó okok.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tömlős és tömlő nélküli gumiabroncsok felépítése és javítási eljárásai, technológiái. A hibák értékelése és elemzése, a javíthatóság és a javítás módja, technológiája.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gumiabroncs- és tömlőjavítási technológiák.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kerékpántok (acél, könnyűfém) gépjárműre szerelési módjai. A gumiabroncs jelölései, a forgásirány.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gumiabroncs szerviz nyitásának és működtetésének jogszabályi és gazdasági feltételei.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kerékpántok és gumiabroncsok jellemzői, műszaki- és minőségi tulajdonságai. A forgalmazás műszaki és kereskedelmi kompetenciái.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kerékpántok és gumiabroncsok szakszerű tárolásának alapelvei és szempontjai.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TPMS kerékszenzor diagnosztikai és programozó eszköz használata és a programozás folyamata. A TPMS szenzorokkal kapcsolatos szerelési sajátosságok és a különböző szenzortípusok.</w:t>
                  </w:r>
                </w:p>
                <w:p w14:paraId="0081C938" w14:textId="2D9305B3" w:rsidR="00375307" w:rsidRDefault="00375307" w:rsidP="00375307">
                  <w:pPr>
                    <w:pStyle w:val="Standard"/>
                    <w:spacing w:after="12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• A vonatkozó munka-, tűz-, és környezetvédelmi szabályok.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Az ügyfélkezelési és kommunikációs módszerek. A kritikus helyzetek (pl. reklamáció) kezelési eszközei.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kézi és online számlakiállítás szabályai.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  <w:t>• A raktárkészlet kezelés szabályai. A vonatkozó adminisztrációs feladatok.</w:t>
                  </w:r>
                </w:p>
              </w:tc>
            </w:tr>
          </w:tbl>
          <w:p w14:paraId="7D0BB191" w14:textId="77777777" w:rsidR="00C178E3" w:rsidRDefault="00C178E3">
            <w:pPr>
              <w:pStyle w:val="Standard"/>
              <w:jc w:val="center"/>
            </w:pPr>
          </w:p>
        </w:tc>
      </w:tr>
      <w:tr w:rsidR="00C178E3" w14:paraId="0819FFBA" w14:textId="77777777">
        <w:trPr>
          <w:trHeight w:val="9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F823F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4.1.8.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4973B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tananyagegység/témakör/modul elvégzéséről szóló igazolás kiadásának feltétele(i):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AA57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tananyagegység elvégzéséről nem kerül kiadásra külön igazolás. A 7.2. pontban meghatározott feltételek teljesítése esetén a képzés végén kerül kiadásra a tanúsítvány.</w:t>
            </w:r>
          </w:p>
        </w:tc>
      </w:tr>
    </w:tbl>
    <w:p w14:paraId="687438F7" w14:textId="77777777" w:rsidR="00C178E3" w:rsidRDefault="00C178E3">
      <w:pPr>
        <w:pStyle w:val="Standard"/>
        <w:rPr>
          <w:rFonts w:cs="Calibri"/>
          <w:b/>
          <w:bCs/>
        </w:rPr>
      </w:pPr>
    </w:p>
    <w:bookmarkEnd w:id="0"/>
    <w:p w14:paraId="4DBA56FD" w14:textId="77777777" w:rsidR="00C178E3" w:rsidRDefault="00000000">
      <w:pPr>
        <w:pStyle w:val="Standard"/>
        <w:spacing w:after="120"/>
        <w:jc w:val="center"/>
      </w:pPr>
      <w:r>
        <w:rPr>
          <w:rFonts w:cs="Calibri"/>
          <w:b/>
          <w:bCs/>
          <w:sz w:val="24"/>
          <w:szCs w:val="24"/>
        </w:rPr>
        <w:t>5. Csoportlétszám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3283"/>
        <w:gridCol w:w="5231"/>
      </w:tblGrid>
      <w:tr w:rsidR="00C178E3" w14:paraId="385F0AEE" w14:textId="77777777">
        <w:trPr>
          <w:trHeight w:val="52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FA09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E1BE" w14:textId="77777777" w:rsidR="00C178E3" w:rsidRDefault="00000000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Maximális csoportlétszám</w:t>
            </w:r>
            <w:r>
              <w:rPr>
                <w:rStyle w:val="Lbjegyzet-hivatkozs"/>
                <w:rFonts w:cs="Calibri"/>
                <w:sz w:val="20"/>
                <w:szCs w:val="20"/>
              </w:rPr>
              <w:footnoteReference w:id="7"/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11E4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 fő</w:t>
            </w:r>
          </w:p>
        </w:tc>
      </w:tr>
    </w:tbl>
    <w:p w14:paraId="313321A8" w14:textId="77777777" w:rsidR="00C178E3" w:rsidRDefault="00C178E3">
      <w:pPr>
        <w:pStyle w:val="Standard"/>
        <w:rPr>
          <w:rFonts w:cs="Calibri"/>
          <w:sz w:val="20"/>
          <w:szCs w:val="20"/>
        </w:rPr>
      </w:pPr>
    </w:p>
    <w:p w14:paraId="119EF1AA" w14:textId="77777777" w:rsidR="00C178E3" w:rsidRDefault="00000000">
      <w:pPr>
        <w:pStyle w:val="Standard"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6. A képzésben részt vevő teljesítményét értékelő rendszer leírása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508"/>
      </w:tblGrid>
      <w:tr w:rsidR="00C178E3" w14:paraId="6CAB65AE" w14:textId="77777777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D31D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6.1.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B689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Előzetes tudásmérés (diagnosztikus) értékelés:</w:t>
            </w:r>
          </w:p>
        </w:tc>
      </w:tr>
      <w:tr w:rsidR="00C178E3" w14:paraId="79A8337D" w14:textId="77777777">
        <w:trPr>
          <w:trHeight w:val="826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C218" w14:textId="77777777" w:rsidR="00C178E3" w:rsidRDefault="00C178E3">
            <w:pPr>
              <w:suppressAutoHyphens w:val="0"/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CC2F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Résztvevő kérésére biztosított.</w:t>
            </w:r>
          </w:p>
        </w:tc>
      </w:tr>
      <w:tr w:rsidR="00C178E3" w14:paraId="3ED13CB1" w14:textId="77777777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2B89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6.2.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FA9D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Képzés közbeni (fejlesztő) értékelés:</w:t>
            </w:r>
          </w:p>
        </w:tc>
      </w:tr>
      <w:tr w:rsidR="00C178E3" w14:paraId="1EAF448A" w14:textId="77777777">
        <w:trPr>
          <w:trHeight w:val="95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1C1A" w14:textId="77777777" w:rsidR="00C178E3" w:rsidRDefault="00C178E3">
            <w:pPr>
              <w:suppressAutoHyphens w:val="0"/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0E6D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fejlesztő értékelés szerepe, hogy a képzésben résztvevők fejlődését támogassa, a tanulási igényeket pontosítsa, az oktatók tanulásszervezési feladatait segítse.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  <w:t>A képzés közbeni fejlesztő értékelés, az írásbeli, szóbeli, gyakorlati beszámoltatások, az ismeretek számonkérésének módjai lehetnek: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lastRenderedPageBreak/>
              <w:t>• Visszakérdezés,</w:t>
            </w:r>
            <w:r>
              <w:rPr>
                <w:rFonts w:cs="Calibri"/>
                <w:sz w:val="20"/>
                <w:szCs w:val="20"/>
              </w:rPr>
              <w:br/>
              <w:t>• Gyakorlati feladatmegoldás,</w:t>
            </w:r>
            <w:r>
              <w:rPr>
                <w:rFonts w:cs="Calibri"/>
                <w:sz w:val="20"/>
                <w:szCs w:val="20"/>
              </w:rPr>
              <w:br/>
              <w:t>• Képzésben résztvevő visszajelzései,</w:t>
            </w:r>
            <w:r>
              <w:rPr>
                <w:rFonts w:cs="Calibri"/>
                <w:sz w:val="20"/>
                <w:szCs w:val="20"/>
              </w:rPr>
              <w:br/>
              <w:t>• Beszélgetés,</w:t>
            </w:r>
            <w:r>
              <w:rPr>
                <w:rFonts w:cs="Calibri"/>
                <w:sz w:val="20"/>
                <w:szCs w:val="20"/>
              </w:rPr>
              <w:br/>
              <w:t>• Feladatlap kitöltése,</w:t>
            </w:r>
            <w:r>
              <w:rPr>
                <w:rFonts w:cs="Calibri"/>
                <w:sz w:val="20"/>
                <w:szCs w:val="20"/>
              </w:rPr>
              <w:br/>
              <w:t>• Házi feladat ellenőrzése,</w:t>
            </w:r>
            <w:r>
              <w:rPr>
                <w:rFonts w:cs="Calibri"/>
                <w:sz w:val="20"/>
                <w:szCs w:val="20"/>
              </w:rPr>
              <w:br/>
              <w:t>• Írásbeli felelet.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  <w:t>A fenti fejlesztő értékeléshez nem tartozik minősítés, a tanulási és tanítási folyamatokat szolgálja.</w:t>
            </w:r>
          </w:p>
        </w:tc>
      </w:tr>
      <w:tr w:rsidR="00C178E3" w14:paraId="3195545B" w14:textId="77777777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2CE9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CB20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Résztvevő záró (</w:t>
            </w:r>
            <w:proofErr w:type="spellStart"/>
            <w:r>
              <w:rPr>
                <w:rFonts w:cs="Calibri"/>
                <w:sz w:val="20"/>
                <w:szCs w:val="20"/>
              </w:rPr>
              <w:t>szummatív</w:t>
            </w:r>
            <w:proofErr w:type="spellEnd"/>
            <w:r>
              <w:rPr>
                <w:rFonts w:cs="Calibri"/>
                <w:sz w:val="20"/>
                <w:szCs w:val="20"/>
              </w:rPr>
              <w:t>) értékelése:</w:t>
            </w:r>
          </w:p>
        </w:tc>
      </w:tr>
      <w:tr w:rsidR="00C178E3" w14:paraId="0C7026A9" w14:textId="77777777">
        <w:trPr>
          <w:trHeight w:val="881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F6B5" w14:textId="77777777" w:rsidR="00C178E3" w:rsidRDefault="00C178E3">
            <w:pPr>
              <w:suppressAutoHyphens w:val="0"/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5AD1" w14:textId="77777777" w:rsidR="00C178E3" w:rsidRDefault="00000000">
            <w:pPr>
              <w:pStyle w:val="Standard"/>
              <w:spacing w:before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záróvizsgával zárul és a képzés végén kerül megtartásra.</w:t>
            </w:r>
            <w:r>
              <w:rPr>
                <w:rFonts w:cs="Calibri"/>
                <w:sz w:val="20"/>
                <w:szCs w:val="20"/>
              </w:rPr>
              <w:br/>
            </w:r>
          </w:p>
          <w:p w14:paraId="2192CE55" w14:textId="77777777" w:rsidR="00C178E3" w:rsidRDefault="00000000">
            <w:pPr>
              <w:pStyle w:val="Standard"/>
              <w:spacing w:before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írásbeli záróvizsga feladatait a képző intézmény állítja össze az alábbi témakörökből:</w:t>
            </w:r>
            <w:r>
              <w:rPr>
                <w:rFonts w:cs="Calibri"/>
                <w:sz w:val="20"/>
                <w:szCs w:val="20"/>
              </w:rPr>
              <w:br/>
              <w:t>• Gumijavító műhely üzemeltetése</w:t>
            </w:r>
            <w:r>
              <w:rPr>
                <w:rFonts w:cs="Calibri"/>
                <w:sz w:val="20"/>
                <w:szCs w:val="20"/>
              </w:rPr>
              <w:br/>
              <w:t>• Munka-, tűz-, baleset-, környezetvédelem, biztonságtechnika, érintésvédelem</w:t>
            </w:r>
            <w:r>
              <w:rPr>
                <w:rFonts w:cs="Calibri"/>
                <w:sz w:val="20"/>
                <w:szCs w:val="20"/>
              </w:rPr>
              <w:br/>
              <w:t>• Gumiabroncs anyagai, szerkezete, fajtái, szerkezeti elemei, műszaki tulajdonságai.</w:t>
            </w:r>
            <w:r>
              <w:rPr>
                <w:rFonts w:cs="Calibri"/>
                <w:sz w:val="20"/>
                <w:szCs w:val="20"/>
              </w:rPr>
              <w:br/>
              <w:t>• Feliratelemzés. Optimális üzemeltetés feltételei.</w:t>
            </w:r>
            <w:r>
              <w:rPr>
                <w:rFonts w:cs="Calibri"/>
                <w:sz w:val="20"/>
                <w:szCs w:val="20"/>
              </w:rPr>
              <w:br/>
              <w:t>• Javítás anyagai, technológiái, eszközei.</w:t>
            </w:r>
            <w:r>
              <w:rPr>
                <w:rFonts w:cs="Calibri"/>
                <w:sz w:val="20"/>
                <w:szCs w:val="20"/>
              </w:rPr>
              <w:br/>
              <w:t>• Keréktárcsák, szelepek.</w:t>
            </w:r>
            <w:r>
              <w:rPr>
                <w:rFonts w:cs="Calibri"/>
                <w:sz w:val="20"/>
                <w:szCs w:val="20"/>
              </w:rPr>
              <w:br/>
              <w:t xml:space="preserve">• Szerelés, kiegyensúlyozás </w:t>
            </w:r>
            <w:proofErr w:type="spellStart"/>
            <w:r>
              <w:rPr>
                <w:rFonts w:cs="Calibri"/>
                <w:sz w:val="20"/>
                <w:szCs w:val="20"/>
              </w:rPr>
              <w:t>gépei</w:t>
            </w:r>
            <w:proofErr w:type="spellEnd"/>
            <w:r>
              <w:rPr>
                <w:rFonts w:cs="Calibri"/>
                <w:sz w:val="20"/>
                <w:szCs w:val="20"/>
              </w:rPr>
              <w:t>, műveletei.</w:t>
            </w:r>
            <w:r>
              <w:rPr>
                <w:rFonts w:cs="Calibri"/>
                <w:sz w:val="20"/>
                <w:szCs w:val="20"/>
              </w:rPr>
              <w:br/>
              <w:t>• Futómű és fékrendszerek hibái és velük összefüggő gumiabroncs kopási képek</w:t>
            </w:r>
            <w:r>
              <w:rPr>
                <w:rFonts w:cs="Calibri"/>
                <w:sz w:val="20"/>
                <w:szCs w:val="20"/>
              </w:rPr>
              <w:br/>
            </w:r>
          </w:p>
          <w:p w14:paraId="18025485" w14:textId="77777777" w:rsidR="00C178E3" w:rsidRDefault="00000000">
            <w:pPr>
              <w:pStyle w:val="Standard"/>
              <w:spacing w:before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záró feladaton megszerezhető minősítések:</w:t>
            </w:r>
            <w:r>
              <w:rPr>
                <w:rFonts w:cs="Calibri"/>
                <w:sz w:val="20"/>
                <w:szCs w:val="20"/>
              </w:rPr>
              <w:br/>
              <w:t>• Megfelelt</w:t>
            </w:r>
            <w:r>
              <w:rPr>
                <w:rFonts w:cs="Calibri"/>
                <w:sz w:val="20"/>
                <w:szCs w:val="20"/>
              </w:rPr>
              <w:br/>
              <w:t>• Nem felelt meg</w:t>
            </w:r>
            <w:r>
              <w:rPr>
                <w:rFonts w:cs="Calibri"/>
                <w:sz w:val="20"/>
                <w:szCs w:val="20"/>
              </w:rPr>
              <w:br/>
            </w:r>
          </w:p>
          <w:p w14:paraId="2C712A4A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megszerezhető minősítésekhez tartozó követelményszintek:</w:t>
            </w:r>
            <w:r>
              <w:rPr>
                <w:rFonts w:cs="Calibri"/>
                <w:sz w:val="20"/>
                <w:szCs w:val="20"/>
              </w:rPr>
              <w:br/>
              <w:t>• Megfelelt: legalább 51%-os teljesítmény</w:t>
            </w:r>
            <w:r>
              <w:rPr>
                <w:rFonts w:cs="Calibri"/>
                <w:sz w:val="20"/>
                <w:szCs w:val="20"/>
              </w:rPr>
              <w:br/>
              <w:t>• Nem felelt meg: 50%, vagy az alatti teljesítmény.</w:t>
            </w:r>
          </w:p>
        </w:tc>
      </w:tr>
    </w:tbl>
    <w:p w14:paraId="4587E9B3" w14:textId="77777777" w:rsidR="00C178E3" w:rsidRDefault="00C178E3">
      <w:pPr>
        <w:pStyle w:val="Standard"/>
        <w:rPr>
          <w:rFonts w:cs="Calibri"/>
          <w:sz w:val="20"/>
          <w:szCs w:val="20"/>
        </w:rPr>
      </w:pPr>
    </w:p>
    <w:p w14:paraId="0A1D5CBC" w14:textId="77777777" w:rsidR="00C178E3" w:rsidRDefault="00000000">
      <w:pPr>
        <w:pStyle w:val="Standard"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7. A képzés elvégzéséről szóló igazolás kiadásának feltételei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021"/>
        <w:gridCol w:w="5487"/>
      </w:tblGrid>
      <w:tr w:rsidR="00C178E3" w14:paraId="6A0E7371" w14:textId="7777777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5092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B45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elvégzéséről szóló igazolás megnevezése: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B257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b/>
                <w:sz w:val="20"/>
                <w:szCs w:val="20"/>
              </w:rPr>
              <w:t>TANÚSÍTVÁNY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sz w:val="20"/>
                <w:szCs w:val="20"/>
              </w:rPr>
              <w:t>2013. évi LXXVII. törvény 13/B. §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sz w:val="20"/>
                <w:szCs w:val="20"/>
              </w:rPr>
              <w:t>11/2020. (II. 7.) Korm. rendelet 22. § (1)</w:t>
            </w:r>
          </w:p>
        </w:tc>
      </w:tr>
      <w:tr w:rsidR="00C178E3" w14:paraId="2C5AB9BA" w14:textId="77777777">
        <w:trPr>
          <w:trHeight w:val="7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ACF6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3D5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elvégzéséről szóló igazolás kiadásának feltétele(i):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878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elvégzéséről szóló tanúsítvány kiadásának feltétele a záróvizsgán „Megfelelt” minősítés megszerzése.</w:t>
            </w:r>
          </w:p>
        </w:tc>
      </w:tr>
    </w:tbl>
    <w:p w14:paraId="2F93EF03" w14:textId="77777777" w:rsidR="00C178E3" w:rsidRDefault="00C178E3">
      <w:pPr>
        <w:pStyle w:val="Standard"/>
      </w:pPr>
    </w:p>
    <w:p w14:paraId="594502C8" w14:textId="77777777" w:rsidR="00C178E3" w:rsidRDefault="00000000">
      <w:pPr>
        <w:pStyle w:val="Standard"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8. A képzési program végrehajtásához szükséges feltételek</w:t>
      </w:r>
    </w:p>
    <w:tbl>
      <w:tblPr>
        <w:tblW w:w="9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003"/>
        <w:gridCol w:w="5514"/>
      </w:tblGrid>
      <w:tr w:rsidR="00C178E3" w14:paraId="642DA1BC" w14:textId="77777777">
        <w:trPr>
          <w:trHeight w:val="6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17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6D46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Személyi feltételek: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EC60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b/>
                <w:sz w:val="20"/>
                <w:szCs w:val="20"/>
              </w:rPr>
              <w:t>Elméleti oktató:</w:t>
            </w:r>
            <w:r>
              <w:rPr>
                <w:rFonts w:cs="Calibri"/>
                <w:sz w:val="20"/>
                <w:szCs w:val="20"/>
              </w:rPr>
              <w:t xml:space="preserve"> a képzési tartalomnak megfelelő szakos tanári szakképzettséggel, ennek hiányában a képzési tartalomnak megfelelő felsőfokú végzettséggel és szakképzettséggel vagy felsőfokú végzettséggel és a képzés tanulmányi területének megfelelő szakképesítéssel rendelkező oktató.</w:t>
            </w:r>
            <w:r>
              <w:rPr>
                <w:rFonts w:cs="Calibri"/>
                <w:sz w:val="20"/>
                <w:szCs w:val="20"/>
              </w:rPr>
              <w:br/>
            </w:r>
          </w:p>
          <w:p w14:paraId="03F4DF78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b/>
                <w:sz w:val="20"/>
                <w:szCs w:val="20"/>
              </w:rPr>
              <w:t>Gyakorlati oktató:</w:t>
            </w:r>
            <w:r>
              <w:rPr>
                <w:rFonts w:cs="Calibri"/>
                <w:sz w:val="20"/>
                <w:szCs w:val="20"/>
              </w:rPr>
              <w:t xml:space="preserve"> a képzési tartalomnak megfelelő felsőfokú végzettséggel és szakképzettséggel vagy a képzés tanulmányi </w:t>
            </w:r>
            <w:r>
              <w:rPr>
                <w:rFonts w:cs="Calibri"/>
                <w:sz w:val="20"/>
                <w:szCs w:val="20"/>
              </w:rPr>
              <w:lastRenderedPageBreak/>
              <w:t>területének megfelelő szakképesítéssel és legalább hároméves szakmai gyakorlattal rendelkező oktató.</w:t>
            </w:r>
          </w:p>
        </w:tc>
      </w:tr>
      <w:tr w:rsidR="00C178E3" w14:paraId="229086F4" w14:textId="77777777">
        <w:trPr>
          <w:trHeight w:val="5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8A67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7AD9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Személyi feltételek biztosításának módja: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79C0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oktatót a képző intézmény foglalkoztatja munkaszerződéssel, megbízási szerződéssel vagy az oktató alkalmazását bizonyító más szerződéssel.</w:t>
            </w:r>
          </w:p>
        </w:tc>
      </w:tr>
      <w:tr w:rsidR="00C178E3" w14:paraId="542D41D1" w14:textId="77777777">
        <w:trPr>
          <w:trHeight w:val="63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0E11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8.3.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6A55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Tárgyi feltételek: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15A6" w14:textId="77777777" w:rsidR="00C178E3" w:rsidRDefault="00000000">
            <w:pPr>
              <w:pStyle w:val="Standard"/>
              <w:spacing w:before="120" w:after="120"/>
            </w:pPr>
            <w:r>
              <w:rPr>
                <w:rFonts w:cs="Calibri"/>
                <w:b/>
                <w:sz w:val="20"/>
                <w:szCs w:val="20"/>
              </w:rPr>
              <w:t>A képzésben részt vevő személyes jelenlétét igénylő képzési rész esetén:</w:t>
            </w:r>
            <w:r>
              <w:rPr>
                <w:rFonts w:cs="Calibri"/>
                <w:sz w:val="20"/>
                <w:szCs w:val="20"/>
              </w:rPr>
              <w:t xml:space="preserve"> a résztvevők létszámának megfelelő oktatóterem a hozzá kapcsolódó berendezési tárgyak: </w:t>
            </w:r>
            <w:proofErr w:type="spellStart"/>
            <w:r>
              <w:rPr>
                <w:rFonts w:cs="Calibri"/>
                <w:sz w:val="20"/>
                <w:szCs w:val="20"/>
              </w:rPr>
              <w:t>flipchart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tábla vagy kivetítő, tanulói és tanári létszámnak megfelelő asztal és szék, laptop/személyi számítógép, szoftverek, internetelérés.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b/>
                <w:sz w:val="20"/>
                <w:szCs w:val="20"/>
              </w:rPr>
              <w:t>A képzésben részt vevő interaktív és távolléti kapcsolattal megvalósuló jelenlétét igénylő, illetve a képzésben résztvevő személyes jelenlétét nem igénylő képzési rész esetén:</w:t>
            </w:r>
            <w:r>
              <w:rPr>
                <w:rFonts w:cs="Calibri"/>
                <w:sz w:val="20"/>
                <w:szCs w:val="20"/>
              </w:rPr>
              <w:br/>
              <w:t>• intézmény részéről: a képzési program megvalósításához szükséges számítástechnikai eszközök, internetelérés, a képzési programban alkalmazott szoftverek;</w:t>
            </w:r>
            <w:r>
              <w:rPr>
                <w:rFonts w:cs="Calibri"/>
                <w:sz w:val="20"/>
                <w:szCs w:val="20"/>
              </w:rPr>
              <w:br/>
              <w:t>• képzésben résztvevő részéről: a képzés elvégzéséhez résztvevői oldalról szükséges számítástechnikai eszközök (például laptop/személyi számítógép/tablet/okostelefon, mikrofon, webkamera) és internetelérés.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b/>
                <w:sz w:val="20"/>
                <w:szCs w:val="20"/>
              </w:rPr>
              <w:t>Eszközjegyzék:</w:t>
            </w:r>
            <w:r>
              <w:rPr>
                <w:rFonts w:cs="Calibri"/>
                <w:sz w:val="20"/>
                <w:szCs w:val="20"/>
              </w:rPr>
              <w:br/>
              <w:t>• Szerelőgép</w:t>
            </w:r>
            <w:r>
              <w:rPr>
                <w:rFonts w:cs="Calibri"/>
                <w:sz w:val="20"/>
                <w:szCs w:val="20"/>
              </w:rPr>
              <w:br/>
              <w:t>• Kerék kiegyensúlyozó</w:t>
            </w:r>
            <w:r>
              <w:rPr>
                <w:rFonts w:cs="Calibri"/>
                <w:sz w:val="20"/>
                <w:szCs w:val="20"/>
              </w:rPr>
              <w:br/>
              <w:t>• Kompresszor</w:t>
            </w:r>
            <w:r>
              <w:rPr>
                <w:rFonts w:cs="Calibr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cs="Calibri"/>
                <w:sz w:val="20"/>
                <w:szCs w:val="20"/>
              </w:rPr>
              <w:t>Thermopressz</w:t>
            </w:r>
            <w:proofErr w:type="spellEnd"/>
            <w:r>
              <w:rPr>
                <w:rFonts w:cs="Calibri"/>
                <w:sz w:val="20"/>
                <w:szCs w:val="20"/>
              </w:rPr>
              <w:br/>
              <w:t>• Porszívó (ipari)</w:t>
            </w:r>
            <w:r>
              <w:rPr>
                <w:rFonts w:cs="Calibri"/>
                <w:sz w:val="20"/>
                <w:szCs w:val="20"/>
              </w:rPr>
              <w:br/>
              <w:t>• Magasnyomású tisztító berendezés</w:t>
            </w:r>
            <w:r>
              <w:rPr>
                <w:rFonts w:cs="Calibri"/>
                <w:sz w:val="20"/>
                <w:szCs w:val="20"/>
              </w:rPr>
              <w:br/>
              <w:t>• Pneumatikus javítóállvány</w:t>
            </w:r>
            <w:r>
              <w:rPr>
                <w:rFonts w:cs="Calibri"/>
                <w:sz w:val="20"/>
                <w:szCs w:val="20"/>
              </w:rPr>
              <w:br/>
              <w:t>• Számítógép</w:t>
            </w:r>
            <w:r>
              <w:rPr>
                <w:rFonts w:cs="Calibri"/>
                <w:sz w:val="20"/>
                <w:szCs w:val="20"/>
              </w:rPr>
              <w:br/>
              <w:t>• Teheremelő berendezések</w:t>
            </w:r>
            <w:r>
              <w:rPr>
                <w:rFonts w:cs="Calibri"/>
                <w:sz w:val="20"/>
                <w:szCs w:val="20"/>
              </w:rPr>
              <w:br/>
              <w:t>• Mérőeszközök</w:t>
            </w:r>
            <w:r>
              <w:rPr>
                <w:rFonts w:cs="Calibri"/>
                <w:sz w:val="20"/>
                <w:szCs w:val="20"/>
              </w:rPr>
              <w:br/>
              <w:t>• Kéziszerszámok</w:t>
            </w:r>
            <w:r>
              <w:rPr>
                <w:rFonts w:cs="Calibri"/>
                <w:sz w:val="20"/>
                <w:szCs w:val="20"/>
              </w:rPr>
              <w:br/>
              <w:t>• Szerelőszerszámok</w:t>
            </w:r>
            <w:r>
              <w:rPr>
                <w:rFonts w:cs="Calibri"/>
                <w:sz w:val="20"/>
                <w:szCs w:val="20"/>
              </w:rPr>
              <w:br/>
              <w:t>• TPMS kerékszenzor diagnosztikai és programozó eszköz</w:t>
            </w:r>
            <w:r>
              <w:rPr>
                <w:rFonts w:cs="Calibri"/>
                <w:sz w:val="20"/>
                <w:szCs w:val="20"/>
              </w:rPr>
              <w:br/>
              <w:t>• Egyéni védőeszközök</w:t>
            </w:r>
            <w:r>
              <w:rPr>
                <w:rFonts w:cs="Calibri"/>
                <w:sz w:val="20"/>
                <w:szCs w:val="20"/>
              </w:rPr>
              <w:br/>
              <w:t>• Környezetvédelmi eszközök, berendezések</w:t>
            </w:r>
            <w:r>
              <w:rPr>
                <w:rFonts w:cs="Calibri"/>
                <w:sz w:val="20"/>
                <w:szCs w:val="20"/>
              </w:rPr>
              <w:br/>
              <w:t>• Munkabiztonsági eszközök, felszerelések</w:t>
            </w:r>
            <w:r>
              <w:rPr>
                <w:rFonts w:cs="Calibri"/>
                <w:sz w:val="20"/>
                <w:szCs w:val="20"/>
              </w:rPr>
              <w:br/>
              <w:t>• Számítógép, szövegszerkesztő, adatbázis-kezelő, szkenner, internetkapcsolat, e-mail levelező, nyomtató, számlázó szoftver (NAV)</w:t>
            </w:r>
            <w:r>
              <w:rPr>
                <w:rFonts w:cs="Calibri"/>
                <w:sz w:val="20"/>
                <w:szCs w:val="20"/>
              </w:rPr>
              <w:br/>
              <w:t>• Veszélyeshulladék-kezelő eszközök, berendezések</w:t>
            </w:r>
            <w:r>
              <w:rPr>
                <w:rFonts w:cs="Calibri"/>
                <w:sz w:val="20"/>
                <w:szCs w:val="20"/>
              </w:rPr>
              <w:br/>
              <w:t>• Elsősegély nyújtás eszközei</w:t>
            </w:r>
          </w:p>
        </w:tc>
      </w:tr>
      <w:tr w:rsidR="00C178E3" w14:paraId="47CB402F" w14:textId="77777777">
        <w:trPr>
          <w:trHeight w:val="7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D7D3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8.4.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9EE2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Tárgyi feltételek biztosításának módja: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06C9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képzéshez szükséges tárgyi feltételek, eszközök meglétét a felnőttképző tulajdonjog, használati jog, bérleti jogviszony vagy egyéb használatra irányuló jogviszony alapján biztosítja.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br/>
            </w:r>
            <w:r w:rsidRPr="002A3519">
              <w:rPr>
                <w:rFonts w:cs="Calibri"/>
                <w:b/>
                <w:bCs/>
                <w:sz w:val="20"/>
                <w:szCs w:val="20"/>
              </w:rPr>
              <w:t>A képzésben részt vevő interaktív és távolléti kapcsolattal megvalósuló jelenlétét igénylő, illetve a képzésben résztvevő személyes jelenlétét nem igénylő képzési rész esetén:</w:t>
            </w:r>
            <w:r>
              <w:rPr>
                <w:rFonts w:cs="Calibri"/>
                <w:sz w:val="20"/>
                <w:szCs w:val="20"/>
              </w:rPr>
              <w:t xml:space="preserve"> a képzés elvégzéséhez résztvevői oldalról szükséges számítástechnikai </w:t>
            </w:r>
            <w:r>
              <w:rPr>
                <w:rFonts w:cs="Calibri"/>
                <w:sz w:val="20"/>
                <w:szCs w:val="20"/>
              </w:rPr>
              <w:lastRenderedPageBreak/>
              <w:t>eszközöket és internetelérést a képzésben résztvevő saját eszközeként biztosítja.</w:t>
            </w:r>
          </w:p>
        </w:tc>
      </w:tr>
      <w:tr w:rsidR="00C178E3" w14:paraId="26FA373B" w14:textId="77777777">
        <w:trPr>
          <w:trHeight w:val="7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2BF5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2A87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képzéshez kapcsolódó egyéb speciális feltételek: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2C53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  <w:tr w:rsidR="00C178E3" w14:paraId="19CAE960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AC6C" w14:textId="77777777" w:rsidR="00C178E3" w:rsidRDefault="00000000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8.6.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8AD9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képzéshez kapcsolódó egyéb speciális feltételek biztosításának módja: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519E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--</w:t>
            </w:r>
          </w:p>
        </w:tc>
      </w:tr>
    </w:tbl>
    <w:p w14:paraId="1867CC96" w14:textId="77777777" w:rsidR="00C178E3" w:rsidRDefault="00C178E3">
      <w:pPr>
        <w:pStyle w:val="Standard"/>
        <w:rPr>
          <w:rFonts w:cs="Calibri"/>
          <w:sz w:val="20"/>
          <w:szCs w:val="20"/>
        </w:rPr>
      </w:pPr>
    </w:p>
    <w:p w14:paraId="61205F9F" w14:textId="77777777" w:rsidR="00C178E3" w:rsidRDefault="00000000">
      <w:pPr>
        <w:pStyle w:val="Standard"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9. Képesítő vizsga</w:t>
      </w:r>
    </w:p>
    <w:tbl>
      <w:tblPr>
        <w:tblW w:w="9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6"/>
      </w:tblGrid>
      <w:tr w:rsidR="00C178E3" w14:paraId="4626F80B" w14:textId="77777777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3B64" w14:textId="77777777" w:rsidR="00C178E3" w:rsidRDefault="00000000">
            <w:pPr>
              <w:pStyle w:val="Standard"/>
              <w:spacing w:before="120" w:after="12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A képesítő vizsgát nem a képző intézmény szervezi és bonyolítja. </w:t>
            </w:r>
            <w:r>
              <w:rPr>
                <w:rFonts w:cs="Calibri"/>
                <w:sz w:val="20"/>
                <w:szCs w:val="20"/>
              </w:rPr>
              <w:t xml:space="preserve">A szakmai képzéshez kapcsolódóan megszerezhető szakképesítés megszerzésére irányuló képesítő vizsgát a nemzeti akkreditálásról szóló törvény szerinti akkreditáló szerv által személytanúsító szervezetként </w:t>
            </w:r>
            <w:r>
              <w:rPr>
                <w:rFonts w:cs="Calibri"/>
                <w:b/>
                <w:bCs/>
                <w:sz w:val="20"/>
                <w:szCs w:val="20"/>
              </w:rPr>
              <w:t>akkreditált vizsgaközpont szervezhet</w:t>
            </w:r>
            <w:r>
              <w:rPr>
                <w:rFonts w:cs="Calibri"/>
                <w:sz w:val="20"/>
                <w:szCs w:val="20"/>
              </w:rPr>
              <w:t xml:space="preserve">. A képesítő vizsga megszervezéséhez szükséges feltételek és a képesítő vizsga vizsgatevékenységeinek részletes leírása a </w:t>
            </w:r>
            <w:r>
              <w:rPr>
                <w:rFonts w:cs="Calibri"/>
                <w:b/>
                <w:bCs/>
                <w:sz w:val="20"/>
                <w:szCs w:val="20"/>
              </w:rPr>
              <w:t>https://szakkepesites.ikk.hu/</w:t>
            </w:r>
            <w:r>
              <w:rPr>
                <w:rFonts w:cs="Calibri"/>
                <w:sz w:val="20"/>
                <w:szCs w:val="20"/>
              </w:rPr>
              <w:t xml:space="preserve"> weblapon érhetők el a programkövetelmények menüpontban.</w:t>
            </w:r>
          </w:p>
          <w:p w14:paraId="745042FE" w14:textId="77777777" w:rsidR="00C178E3" w:rsidRDefault="00000000">
            <w:pPr>
              <w:pStyle w:val="Standard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szakmai képzéshez kapcsolódóan megszerzett képesítő bizonyítvány államilag elismert, önálló végzettségi szintet nem biztosító szakképesítést tanúsít.</w:t>
            </w:r>
          </w:p>
        </w:tc>
      </w:tr>
      <w:tr w:rsidR="00C178E3" w14:paraId="7896F76D" w14:textId="77777777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9BE1" w14:textId="77777777" w:rsidR="00C178E3" w:rsidRDefault="00000000">
            <w:pPr>
              <w:pStyle w:val="Standard"/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 képesítő vizsgára bocsátás feltétele:</w:t>
            </w:r>
          </w:p>
        </w:tc>
      </w:tr>
      <w:tr w:rsidR="00C178E3" w14:paraId="087DAC35" w14:textId="77777777">
        <w:trPr>
          <w:trHeight w:val="723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17FE" w14:textId="77777777" w:rsidR="00C178E3" w:rsidRDefault="00000000">
            <w:pPr>
              <w:pStyle w:val="Standard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 szakmai képzés követelményeinek teljesítéséről (7.1. pont) a képző intézmény által a felnőttképzési adatszolgáltatási rendszerben kiállított tanúsítvány.</w:t>
            </w:r>
          </w:p>
          <w:p w14:paraId="3C684DCE" w14:textId="77777777" w:rsidR="00C178E3" w:rsidRDefault="00000000">
            <w:pPr>
              <w:pStyle w:val="Standard"/>
              <w:spacing w:after="120"/>
            </w:pPr>
            <w:r>
              <w:rPr>
                <w:rFonts w:cs="Calibri"/>
                <w:sz w:val="20"/>
                <w:szCs w:val="20"/>
              </w:rPr>
              <w:t>Egyéb feltételek: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--</w:t>
            </w:r>
          </w:p>
        </w:tc>
      </w:tr>
    </w:tbl>
    <w:p w14:paraId="584434F6" w14:textId="77777777" w:rsidR="00C178E3" w:rsidRDefault="00C178E3">
      <w:pPr>
        <w:pStyle w:val="Standard"/>
        <w:rPr>
          <w:rFonts w:cs="Calibri"/>
          <w:b/>
          <w:bCs/>
          <w:sz w:val="24"/>
          <w:szCs w:val="24"/>
        </w:rPr>
      </w:pPr>
    </w:p>
    <w:p w14:paraId="4BB094B0" w14:textId="77777777" w:rsidR="00C178E3" w:rsidRDefault="00C178E3">
      <w:pPr>
        <w:pStyle w:val="Standard"/>
        <w:jc w:val="center"/>
        <w:rPr>
          <w:rFonts w:cs="Calibri"/>
          <w:b/>
          <w:bCs/>
          <w:sz w:val="24"/>
          <w:szCs w:val="24"/>
        </w:rPr>
      </w:pPr>
    </w:p>
    <w:p w14:paraId="5044FD2D" w14:textId="77777777" w:rsidR="00C178E3" w:rsidRDefault="00000000">
      <w:pPr>
        <w:pStyle w:val="Standard"/>
        <w:pageBreakBefore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10. Az előzetes minősítés ténye</w:t>
      </w:r>
    </w:p>
    <w:tbl>
      <w:tblPr>
        <w:tblW w:w="9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5"/>
        <w:gridCol w:w="5041"/>
      </w:tblGrid>
      <w:tr w:rsidR="00C178E3" w14:paraId="326C26DE" w14:textId="77777777">
        <w:trPr>
          <w:trHeight w:val="641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8E01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Szakértő nyilatkozata: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69FF" w14:textId="777777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képzési program előzetes minősítése megtörtént.</w:t>
            </w:r>
          </w:p>
        </w:tc>
      </w:tr>
      <w:tr w:rsidR="00C178E3" w14:paraId="62EF7BF3" w14:textId="77777777">
        <w:trPr>
          <w:trHeight w:val="484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EB36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előzetes minősítés helye: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6B48" w14:textId="777777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Budapest</w:t>
            </w:r>
          </w:p>
        </w:tc>
      </w:tr>
      <w:tr w:rsidR="00C178E3" w14:paraId="19598F86" w14:textId="77777777">
        <w:trPr>
          <w:trHeight w:val="484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0E78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előzetes minősítés időpontja: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C85F" w14:textId="6A2DEA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35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2A35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2A351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</w:tr>
      <w:tr w:rsidR="00C178E3" w14:paraId="008274A2" w14:textId="77777777">
        <w:trPr>
          <w:trHeight w:val="495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C533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előzetes minősítést végző felnőttképzési szakértő neve: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EDE0" w14:textId="777777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Pádár Tivadar</w:t>
            </w:r>
          </w:p>
        </w:tc>
      </w:tr>
      <w:tr w:rsidR="00C178E3" w14:paraId="2F58AA00" w14:textId="77777777">
        <w:trPr>
          <w:trHeight w:val="606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1E8E" w14:textId="77777777" w:rsidR="00C178E3" w:rsidRDefault="00000000">
            <w:pPr>
              <w:pStyle w:val="Standard"/>
              <w:spacing w:before="120"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 előzetes minősítést végző felnőttképzési szakértő nyilvántartási száma: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EDCD" w14:textId="77777777" w:rsidR="00C178E3" w:rsidRDefault="00000000">
            <w:pPr>
              <w:pStyle w:val="Standard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FSZ/2020/000057</w:t>
            </w:r>
          </w:p>
        </w:tc>
      </w:tr>
      <w:tr w:rsidR="00C178E3" w14:paraId="4AD463BE" w14:textId="77777777">
        <w:trPr>
          <w:trHeight w:val="573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9FF5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Felnőttképzési szakértő aláírása: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71AA" w14:textId="77777777" w:rsidR="00C178E3" w:rsidRDefault="00C178E3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  <w:tr w:rsidR="00C178E3" w14:paraId="0C6ACF1C" w14:textId="77777777">
        <w:trPr>
          <w:trHeight w:val="729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59D2" w14:textId="77777777" w:rsidR="00C178E3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Felnőttképző intézmény képviselőjének aláírása: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B96A" w14:textId="77777777" w:rsidR="00C178E3" w:rsidRDefault="00C178E3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</w:tr>
    </w:tbl>
    <w:p w14:paraId="7898101A" w14:textId="77777777" w:rsidR="00C178E3" w:rsidRDefault="00C178E3">
      <w:pPr>
        <w:pStyle w:val="Standard"/>
        <w:spacing w:after="160"/>
        <w:jc w:val="center"/>
      </w:pPr>
    </w:p>
    <w:sectPr w:rsidR="00C178E3">
      <w:headerReference w:type="default" r:id="rId7"/>
      <w:footerReference w:type="default" r:id="rId8"/>
      <w:pgSz w:w="11906" w:h="16838"/>
      <w:pgMar w:top="720" w:right="1417" w:bottom="72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30A0" w14:textId="77777777" w:rsidR="00C0072E" w:rsidRDefault="00C0072E">
      <w:r>
        <w:separator/>
      </w:r>
    </w:p>
  </w:endnote>
  <w:endnote w:type="continuationSeparator" w:id="0">
    <w:p w14:paraId="4A9F9B55" w14:textId="77777777" w:rsidR="00C0072E" w:rsidRDefault="00C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44B8" w14:textId="77777777" w:rsidR="00000000" w:rsidRDefault="00000000">
    <w:pPr>
      <w:pStyle w:val="llb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F3CE41" wp14:editId="5B3C6AFA">
          <wp:simplePos x="0" y="0"/>
          <wp:positionH relativeFrom="margin">
            <wp:posOffset>-210220</wp:posOffset>
          </wp:positionH>
          <wp:positionV relativeFrom="paragraph">
            <wp:posOffset>215981</wp:posOffset>
          </wp:positionV>
          <wp:extent cx="271119" cy="270022"/>
          <wp:effectExtent l="0" t="0" r="0" b="0"/>
          <wp:wrapNone/>
          <wp:docPr id="1" name="Kép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19" cy="2700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B8A4088" w14:textId="77777777" w:rsidR="00000000" w:rsidRDefault="00000000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21DA5449" w14:textId="77777777" w:rsidR="00000000" w:rsidRDefault="00000000">
    <w:pPr>
      <w:pStyle w:val="llb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Papíralapú képzési program esetében a szakértő szignója: ___________________;</w:t>
    </w:r>
  </w:p>
  <w:p w14:paraId="4FE034CF" w14:textId="77777777" w:rsidR="00000000" w:rsidRDefault="00000000">
    <w:pPr>
      <w:pStyle w:val="llb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elektronikusan megszerkesztett képzési program esetében legalább fokozott biztonságú elektronikus aláírása.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477A" w14:textId="77777777" w:rsidR="00C0072E" w:rsidRDefault="00C0072E">
      <w:r>
        <w:rPr>
          <w:color w:val="000000"/>
        </w:rPr>
        <w:separator/>
      </w:r>
    </w:p>
  </w:footnote>
  <w:footnote w:type="continuationSeparator" w:id="0">
    <w:p w14:paraId="3AD76FD8" w14:textId="77777777" w:rsidR="00C0072E" w:rsidRDefault="00C0072E">
      <w:r>
        <w:continuationSeparator/>
      </w:r>
    </w:p>
  </w:footnote>
  <w:footnote w:id="1">
    <w:p w14:paraId="37E0F115" w14:textId="77777777" w:rsidR="00C178E3" w:rsidRDefault="00000000">
      <w:pPr>
        <w:pStyle w:val="Footnote"/>
      </w:pPr>
      <w:r>
        <w:rPr>
          <w:rStyle w:val="Lbjegyzet-hivatkozs"/>
        </w:rPr>
        <w:footnoteRef/>
      </w:r>
      <w:r>
        <w:t xml:space="preserve"> </w:t>
      </w:r>
      <w:r>
        <w:rPr>
          <w:rFonts w:eastAsia="Times New Roman" w:cs="Arial"/>
          <w:bCs/>
          <w:i/>
          <w:iCs/>
          <w:sz w:val="16"/>
          <w:szCs w:val="16"/>
          <w:lang w:val="fr-FR" w:eastAsia="nl-NL"/>
        </w:rPr>
        <w:t>A sorok száma bővíthető.</w:t>
      </w:r>
    </w:p>
  </w:footnote>
  <w:footnote w:id="2">
    <w:p w14:paraId="4B8D7A8F" w14:textId="77777777" w:rsidR="00C178E3" w:rsidRDefault="00000000">
      <w:pPr>
        <w:pStyle w:val="Footnote"/>
      </w:pPr>
      <w:r>
        <w:rPr>
          <w:rStyle w:val="Lbjegyzet-hivatkozs"/>
        </w:rPr>
        <w:footnoteRef/>
      </w:r>
      <w:r>
        <w:t xml:space="preserve"> </w:t>
      </w:r>
      <w:r>
        <w:rPr>
          <w:rFonts w:eastAsia="Times New Roman" w:cs="Arial"/>
          <w:bCs/>
          <w:i/>
          <w:iCs/>
          <w:sz w:val="16"/>
          <w:szCs w:val="16"/>
          <w:lang w:val="fr-FR" w:eastAsia="nl-NL"/>
        </w:rPr>
        <w:t>A Tananyagegységeket/témaköröket, modulokat bemutató alfejezetek száma a 4. pontban szereplő sorok számának megfelelően bővítendő.</w:t>
      </w:r>
    </w:p>
  </w:footnote>
  <w:footnote w:id="3">
    <w:p w14:paraId="0DA3A82E" w14:textId="77777777" w:rsidR="00C178E3" w:rsidRDefault="00000000">
      <w:pPr>
        <w:pStyle w:val="Footnote"/>
      </w:pPr>
      <w:r>
        <w:rPr>
          <w:rStyle w:val="Lbjegyzet-hivatkozs"/>
        </w:rPr>
        <w:footnoteRef/>
      </w:r>
      <w:r>
        <w:t xml:space="preserve"> </w:t>
      </w:r>
      <w:r>
        <w:rPr>
          <w:rFonts w:eastAsia="Times New Roman" w:cs="Arial"/>
          <w:bCs/>
          <w:i/>
          <w:iCs/>
          <w:sz w:val="16"/>
          <w:szCs w:val="16"/>
          <w:lang w:val="fr-FR" w:eastAsia="nl-NL"/>
        </w:rPr>
        <w:t>Megegyezik a 4. pontban megadott megnevezéssel.</w:t>
      </w:r>
    </w:p>
  </w:footnote>
  <w:footnote w:id="4">
    <w:p w14:paraId="5A779339" w14:textId="77777777" w:rsidR="00C178E3" w:rsidRDefault="00000000">
      <w:pPr>
        <w:pStyle w:val="Footnote"/>
      </w:pPr>
      <w:r>
        <w:rPr>
          <w:rStyle w:val="Lbjegyzet-hivatkozs"/>
        </w:rPr>
        <w:footnoteRef/>
      </w:r>
      <w:r>
        <w:t xml:space="preserve"> </w:t>
      </w:r>
      <w:r>
        <w:rPr>
          <w:rFonts w:eastAsia="Times New Roman" w:cs="Arial"/>
          <w:bCs/>
          <w:i/>
          <w:iCs/>
          <w:sz w:val="16"/>
          <w:szCs w:val="16"/>
          <w:lang w:val="fr-FR" w:eastAsia="nl-NL"/>
        </w:rPr>
        <w:t>Megegyezik a 4. pontban megadott óraszámmal, és megegyezik a témakörök összóraszámával.</w:t>
      </w:r>
    </w:p>
  </w:footnote>
  <w:footnote w:id="5">
    <w:p w14:paraId="3857D97C" w14:textId="77777777" w:rsidR="00C178E3" w:rsidRDefault="00000000">
      <w:pPr>
        <w:pStyle w:val="Footnote"/>
        <w:jc w:val="both"/>
      </w:pPr>
      <w:r>
        <w:rPr>
          <w:rStyle w:val="Lbjegyzet-hivatkozs"/>
        </w:rPr>
        <w:footnoteRef/>
      </w:r>
      <w:r>
        <w:rPr>
          <w:rStyle w:val="FootnoteSymbol"/>
          <w:rFonts w:ascii="Arial" w:hAnsi="Arial" w:cs="Arial"/>
          <w:sz w:val="16"/>
          <w:szCs w:val="16"/>
        </w:rPr>
        <w:t xml:space="preserve"> </w:t>
      </w:r>
      <w:r>
        <w:rPr>
          <w:rFonts w:eastAsia="Times New Roman" w:cs="Arial"/>
          <w:bCs/>
          <w:i/>
          <w:iCs/>
          <w:sz w:val="16"/>
          <w:szCs w:val="16"/>
          <w:lang w:val="fr-FR" w:eastAsia="nl-NL"/>
        </w:rPr>
        <w:t>Kontaktórától eltérő munkaforma alkalmazása esetén, ha az a képzés óraszámába beszámítható - egyéb esetben nem releváns.</w:t>
      </w:r>
    </w:p>
  </w:footnote>
  <w:footnote w:id="6">
    <w:p w14:paraId="1D3F337B" w14:textId="77777777" w:rsidR="00C178E3" w:rsidRDefault="00000000">
      <w:pPr>
        <w:pStyle w:val="Footnote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A foglalkozás(ok) száma megegyezik a foglalkozás(ok) óraszámával.</w:t>
      </w:r>
    </w:p>
  </w:footnote>
  <w:footnote w:id="7">
    <w:p w14:paraId="40BFDB0D" w14:textId="77777777" w:rsidR="00C178E3" w:rsidRDefault="00000000">
      <w:pPr>
        <w:pStyle w:val="Footnote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Zárt rendszerű elektronikus távoktatás esetén nem releváns.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9FB0" w14:textId="714C4A55" w:rsidR="00000000" w:rsidRPr="002A3519" w:rsidRDefault="002A3519" w:rsidP="00375307">
    <w:pPr>
      <w:pStyle w:val="lfej"/>
      <w:rPr>
        <w:rFonts w:asciiTheme="minorHAnsi" w:hAnsiTheme="minorHAnsi" w:cstheme="minorHAnsi"/>
        <w:sz w:val="20"/>
        <w:szCs w:val="20"/>
      </w:rPr>
    </w:pPr>
    <w:r w:rsidRPr="002A3519">
      <w:rPr>
        <w:rFonts w:asciiTheme="minorHAnsi" w:hAnsiTheme="minorHAnsi" w:cstheme="minorHAnsi"/>
        <w:sz w:val="20"/>
        <w:szCs w:val="20"/>
      </w:rPr>
      <w:t>Novum7 Szolgáltató Kft.</w:t>
    </w:r>
    <w:r w:rsidR="00375307" w:rsidRPr="002A3519">
      <w:rPr>
        <w:rFonts w:asciiTheme="minorHAnsi" w:hAnsiTheme="minorHAnsi" w:cstheme="minorHAnsi"/>
        <w:sz w:val="20"/>
        <w:szCs w:val="20"/>
      </w:rPr>
      <w:tab/>
    </w:r>
    <w:r w:rsidR="00375307" w:rsidRPr="002A3519">
      <w:rPr>
        <w:rFonts w:asciiTheme="minorHAnsi" w:hAnsiTheme="minorHAnsi" w:cstheme="minorHAnsi"/>
        <w:sz w:val="20"/>
        <w:szCs w:val="20"/>
      </w:rPr>
      <w:tab/>
      <w:t>Képzési program</w:t>
    </w:r>
  </w:p>
  <w:p w14:paraId="552D0325" w14:textId="1ECB1E0B" w:rsidR="00000000" w:rsidRPr="002A3519" w:rsidRDefault="00000000" w:rsidP="00375307">
    <w:pPr>
      <w:pStyle w:val="lfej"/>
      <w:pBdr>
        <w:bottom w:val="single" w:sz="6" w:space="1" w:color="000000"/>
      </w:pBdr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  <w:r w:rsidRPr="002A3519">
      <w:rPr>
        <w:rFonts w:asciiTheme="minorHAnsi" w:hAnsiTheme="minorHAnsi" w:cstheme="minorHAnsi"/>
        <w:sz w:val="20"/>
        <w:szCs w:val="20"/>
      </w:rPr>
      <w:t>Engedélyszám:</w:t>
    </w:r>
    <w:r w:rsidR="002A3519" w:rsidRPr="002A3519">
      <w:rPr>
        <w:rFonts w:asciiTheme="minorHAnsi" w:hAnsiTheme="minorHAnsi" w:cstheme="minorHAnsi"/>
        <w:sz w:val="20"/>
        <w:szCs w:val="20"/>
      </w:rPr>
      <w:t xml:space="preserve"> </w:t>
    </w:r>
    <w:r w:rsidR="002A3519" w:rsidRPr="002A3519">
      <w:rPr>
        <w:rFonts w:asciiTheme="minorHAnsi" w:hAnsiTheme="minorHAnsi" w:cstheme="minorHAnsi"/>
        <w:sz w:val="20"/>
        <w:szCs w:val="20"/>
      </w:rPr>
      <w:t>E/2022/000158</w:t>
    </w:r>
    <w:r w:rsidRPr="002A3519">
      <w:rPr>
        <w:rFonts w:asciiTheme="minorHAnsi" w:hAnsiTheme="minorHAnsi" w:cstheme="minorHAnsi"/>
        <w:sz w:val="20"/>
        <w:szCs w:val="20"/>
      </w:rPr>
      <w:tab/>
    </w:r>
    <w:r w:rsidR="00375307" w:rsidRPr="002A3519">
      <w:rPr>
        <w:rFonts w:asciiTheme="minorHAnsi" w:hAnsiTheme="minorHAnsi" w:cstheme="minorHAnsi"/>
        <w:sz w:val="20"/>
        <w:szCs w:val="20"/>
      </w:rPr>
      <w:tab/>
    </w:r>
    <w:r w:rsidR="00375307" w:rsidRPr="002A3519">
      <w:rPr>
        <w:rFonts w:asciiTheme="minorHAnsi" w:hAnsiTheme="minorHAnsi" w:cstheme="minorHAnsi"/>
        <w:sz w:val="20"/>
        <w:szCs w:val="20"/>
      </w:rPr>
      <w:tab/>
    </w:r>
    <w:r w:rsidR="00375307" w:rsidRPr="002A3519">
      <w:rPr>
        <w:rFonts w:asciiTheme="minorHAnsi" w:hAnsiTheme="minorHAnsi" w:cstheme="minorHAnsi"/>
        <w:sz w:val="20"/>
        <w:szCs w:val="20"/>
      </w:rPr>
      <w:tab/>
      <w:t xml:space="preserve">            </w:t>
    </w:r>
    <w:r w:rsidRPr="002A3519">
      <w:rPr>
        <w:rFonts w:asciiTheme="minorHAnsi" w:hAnsiTheme="minorHAnsi" w:cstheme="minorHAnsi"/>
        <w:sz w:val="20"/>
        <w:szCs w:val="20"/>
      </w:rPr>
      <w:t xml:space="preserve">Gumiabroncs-javító és </w:t>
    </w:r>
    <w:proofErr w:type="spellStart"/>
    <w:r w:rsidRPr="002A3519">
      <w:rPr>
        <w:rFonts w:asciiTheme="minorHAnsi" w:hAnsiTheme="minorHAnsi" w:cstheme="minorHAnsi"/>
        <w:sz w:val="20"/>
        <w:szCs w:val="20"/>
      </w:rPr>
      <w:t>kerékkiegyensúlyozó</w:t>
    </w:r>
    <w:proofErr w:type="spellEnd"/>
  </w:p>
  <w:p w14:paraId="3ADE84F9" w14:textId="77777777" w:rsidR="00000000" w:rsidRDefault="00000000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0E1"/>
    <w:multiLevelType w:val="multilevel"/>
    <w:tmpl w:val="B612712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92008DF"/>
    <w:multiLevelType w:val="multilevel"/>
    <w:tmpl w:val="F67EED3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2C1772F"/>
    <w:multiLevelType w:val="multilevel"/>
    <w:tmpl w:val="3AA651F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790969340">
    <w:abstractNumId w:val="1"/>
  </w:num>
  <w:num w:numId="2" w16cid:durableId="1336419566">
    <w:abstractNumId w:val="2"/>
  </w:num>
  <w:num w:numId="3" w16cid:durableId="92943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E3"/>
    <w:rsid w:val="002A3519"/>
    <w:rsid w:val="00375307"/>
    <w:rsid w:val="003F6D5B"/>
    <w:rsid w:val="009E4B00"/>
    <w:rsid w:val="00C0072E"/>
    <w:rsid w:val="00C178E3"/>
    <w:rsid w:val="00D0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45A6"/>
  <w15:docId w15:val="{F9EA903C-4F88-47DA-9EEB-527255B4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hu-H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Standard"/>
    <w:pPr>
      <w:spacing w:after="200" w:line="276" w:lineRule="auto"/>
      <w:ind w:left="720"/>
    </w:pPr>
    <w:rPr>
      <w:rFonts w:cs="Calibri"/>
    </w:rPr>
  </w:style>
  <w:style w:type="paragraph" w:customStyle="1" w:styleId="Footnote">
    <w:name w:val="Footnote"/>
    <w:basedOn w:val="Standard"/>
    <w:rPr>
      <w:rFonts w:cs="Calibri"/>
      <w:sz w:val="20"/>
      <w:szCs w:val="20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Buborkszveg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cm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bjegyzetszvegChar">
    <w:name w:val="Lábjegyzetszöveg Char"/>
    <w:basedOn w:val="Bekezdsalapbettpusa"/>
    <w:rPr>
      <w:rFonts w:ascii="Calibri" w:eastAsia="Calibri" w:hAnsi="Calibri" w:cs="Calibri"/>
      <w:sz w:val="20"/>
      <w:szCs w:val="20"/>
    </w:rPr>
  </w:style>
  <w:style w:type="character" w:customStyle="1" w:styleId="FootnoteSymbol">
    <w:name w:val="Footnote Symbol"/>
    <w:basedOn w:val="Bekezdsalapbettpusa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ommentReference">
    <w:name w:val="Comment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sz w:val="20"/>
      <w:szCs w:val="20"/>
    </w:rPr>
  </w:style>
  <w:style w:type="character" w:customStyle="1" w:styleId="MegjegyzstrgyaChar">
    <w:name w:val="Megjegyzés tárgya Char"/>
    <w:basedOn w:val="JegyzetszvegChar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numbering" w:customStyle="1" w:styleId="NoList1">
    <w:name w:val="No List_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1952</Words>
  <Characters>13472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Borika</cp:lastModifiedBy>
  <cp:revision>2</cp:revision>
  <dcterms:created xsi:type="dcterms:W3CDTF">2024-01-15T11:05:00Z</dcterms:created>
  <dcterms:modified xsi:type="dcterms:W3CDTF">2024-01-15T11:05:00Z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